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2A1C5" w14:textId="038C6487" w:rsidR="00C24957" w:rsidRPr="0042079B" w:rsidRDefault="00EA138F">
      <w:pPr>
        <w:tabs>
          <w:tab w:val="right" w:pos="9638"/>
        </w:tabs>
        <w:rPr>
          <w:rFonts w:ascii="Arial" w:hAnsi="Arial" w:cs="Arial"/>
          <w:b/>
          <w:bCs/>
          <w:noProof/>
          <w:sz w:val="24"/>
          <w:szCs w:val="24"/>
        </w:rPr>
      </w:pPr>
      <w:r>
        <w:rPr>
          <w:rFonts w:ascii="Arial" w:hAnsi="Arial" w:cs="Arial"/>
          <w:b/>
          <w:bCs/>
          <w:noProof/>
          <w:sz w:val="24"/>
          <w:szCs w:val="24"/>
        </w:rPr>
        <w:t>TSG SA</w:t>
      </w:r>
      <w:r w:rsidR="009960BF" w:rsidRPr="009960BF">
        <w:rPr>
          <w:rFonts w:ascii="Arial" w:hAnsi="Arial" w:cs="Arial"/>
          <w:b/>
          <w:bCs/>
          <w:noProof/>
          <w:sz w:val="24"/>
          <w:szCs w:val="24"/>
        </w:rPr>
        <w:t xml:space="preserve"> Meeting #</w:t>
      </w:r>
      <w:r>
        <w:rPr>
          <w:rFonts w:ascii="Arial" w:hAnsi="Arial" w:cs="Arial"/>
          <w:b/>
          <w:bCs/>
          <w:noProof/>
          <w:sz w:val="24"/>
          <w:szCs w:val="24"/>
        </w:rPr>
        <w:t>105</w:t>
      </w:r>
      <w:r w:rsidR="00C24957" w:rsidRPr="0042079B">
        <w:rPr>
          <w:rFonts w:ascii="Arial" w:hAnsi="Arial" w:cs="Arial"/>
          <w:b/>
          <w:bCs/>
          <w:noProof/>
          <w:sz w:val="24"/>
          <w:szCs w:val="24"/>
        </w:rPr>
        <w:tab/>
      </w:r>
      <w:r w:rsidR="008429E2" w:rsidRPr="008429E2">
        <w:rPr>
          <w:rFonts w:ascii="Arial" w:hAnsi="Arial" w:cs="Arial"/>
          <w:b/>
          <w:bCs/>
          <w:noProof/>
          <w:sz w:val="24"/>
          <w:szCs w:val="24"/>
        </w:rPr>
        <w:t>SP-241318</w:t>
      </w:r>
    </w:p>
    <w:p w14:paraId="4FF4DFA0" w14:textId="72CC0DCF" w:rsidR="00C24957" w:rsidRPr="0042079B" w:rsidRDefault="00EA138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Melbourne, Australia, 10-13 Septe</w:t>
      </w:r>
      <w:r w:rsidR="00C718AA">
        <w:rPr>
          <w:rFonts w:ascii="Arial" w:hAnsi="Arial" w:cs="Arial"/>
          <w:b/>
          <w:bCs/>
          <w:noProof/>
          <w:sz w:val="24"/>
          <w:szCs w:val="24"/>
        </w:rPr>
        <w:t>m</w:t>
      </w:r>
      <w:r>
        <w:rPr>
          <w:rFonts w:ascii="Arial" w:hAnsi="Arial" w:cs="Arial"/>
          <w:b/>
          <w:bCs/>
          <w:noProof/>
          <w:sz w:val="24"/>
          <w:szCs w:val="24"/>
        </w:rPr>
        <w:t xml:space="preserve">ber </w:t>
      </w:r>
      <w:r w:rsidR="00EB3C2A">
        <w:rPr>
          <w:rFonts w:ascii="Arial" w:hAnsi="Arial" w:cs="Arial"/>
          <w:b/>
          <w:bCs/>
          <w:noProof/>
          <w:sz w:val="24"/>
          <w:szCs w:val="24"/>
        </w:rPr>
        <w:t>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9100EE5"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E47D64">
        <w:rPr>
          <w:rFonts w:ascii="Arial" w:hAnsi="Arial" w:cs="Arial"/>
          <w:b/>
          <w:sz w:val="24"/>
          <w:szCs w:val="24"/>
        </w:rPr>
        <w:t>On VMR</w:t>
      </w:r>
      <w:r w:rsidR="00A70748">
        <w:rPr>
          <w:rFonts w:ascii="Arial" w:hAnsi="Arial" w:cs="Arial"/>
          <w:b/>
          <w:sz w:val="24"/>
          <w:szCs w:val="24"/>
        </w:rPr>
        <w:t>_Ph2</w:t>
      </w:r>
      <w:r w:rsidR="00E47D64">
        <w:rPr>
          <w:rFonts w:ascii="Arial" w:hAnsi="Arial" w:cs="Arial"/>
          <w:b/>
          <w:sz w:val="24"/>
          <w:szCs w:val="24"/>
        </w:rPr>
        <w:t xml:space="preserve"> normative work </w:t>
      </w:r>
    </w:p>
    <w:p w14:paraId="49B0425A" w14:textId="507082C1" w:rsidR="00C022E3" w:rsidRPr="00AF6262" w:rsidRDefault="00C022E3" w:rsidP="00E040DC">
      <w:pPr>
        <w:keepNext/>
        <w:tabs>
          <w:tab w:val="left" w:pos="2127"/>
        </w:tabs>
        <w:spacing w:after="120"/>
        <w:ind w:left="2126" w:hanging="2126"/>
        <w:outlineLvl w:val="0"/>
        <w:rPr>
          <w:rFonts w:ascii="Arial" w:eastAsia="Malgun Gothic" w:hAnsi="Arial"/>
          <w:b/>
          <w:sz w:val="24"/>
          <w:szCs w:val="24"/>
          <w:lang w:val="en-US" w:eastAsia="ko-KR"/>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r w:rsidR="00AF6262">
        <w:rPr>
          <w:rFonts w:ascii="Arial" w:eastAsia="Malgun Gothic" w:hAnsi="Arial" w:hint="eastAsia"/>
          <w:b/>
          <w:sz w:val="24"/>
          <w:szCs w:val="24"/>
          <w:lang w:val="en-US" w:eastAsia="ko-KR"/>
        </w:rPr>
        <w:t>, LG Electronics</w:t>
      </w:r>
      <w:r w:rsidR="00797294">
        <w:rPr>
          <w:rFonts w:ascii="Arial" w:eastAsia="Malgun Gothic" w:hAnsi="Arial"/>
          <w:b/>
          <w:sz w:val="24"/>
          <w:szCs w:val="24"/>
          <w:lang w:val="en-US" w:eastAsia="ko-KR"/>
        </w:rPr>
        <w:t>, Qualcomm</w:t>
      </w:r>
      <w:r w:rsidR="008429E2">
        <w:rPr>
          <w:rFonts w:ascii="Arial" w:eastAsia="Malgun Gothic" w:hAnsi="Arial"/>
          <w:b/>
          <w:sz w:val="24"/>
          <w:szCs w:val="24"/>
          <w:lang w:val="en-US" w:eastAsia="ko-KR"/>
        </w:rPr>
        <w:t xml:space="preserve"> Inc.</w:t>
      </w:r>
    </w:p>
    <w:p w14:paraId="088BD025" w14:textId="3FDE1A52" w:rsidR="004032D7"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B27434">
        <w:rPr>
          <w:rFonts w:ascii="Arial" w:hAnsi="Arial"/>
          <w:b/>
          <w:sz w:val="24"/>
          <w:szCs w:val="24"/>
          <w:lang w:eastAsia="zh-CN"/>
        </w:rPr>
        <w:t>Discussion</w:t>
      </w:r>
      <w:r w:rsidR="001A4990">
        <w:rPr>
          <w:rFonts w:ascii="Arial" w:hAnsi="Arial"/>
          <w:b/>
          <w:sz w:val="24"/>
          <w:szCs w:val="24"/>
          <w:lang w:eastAsia="zh-CN"/>
        </w:rPr>
        <w:t xml:space="preserve"> and </w:t>
      </w:r>
      <w:r w:rsidR="00A70748">
        <w:rPr>
          <w:rFonts w:ascii="Arial" w:hAnsi="Arial"/>
          <w:b/>
          <w:sz w:val="24"/>
          <w:szCs w:val="24"/>
          <w:lang w:eastAsia="zh-CN"/>
        </w:rPr>
        <w:t>Agreement</w:t>
      </w:r>
    </w:p>
    <w:p w14:paraId="16ED856F" w14:textId="126EEF38"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8429E2">
        <w:rPr>
          <w:rFonts w:ascii="Arial" w:hAnsi="Arial"/>
          <w:b/>
          <w:sz w:val="24"/>
          <w:szCs w:val="24"/>
        </w:rPr>
        <w:t>19.2</w:t>
      </w:r>
    </w:p>
    <w:p w14:paraId="69E88C8F" w14:textId="048A00D3" w:rsidR="00766AAF" w:rsidRPr="001A0CA7" w:rsidRDefault="00E040DC" w:rsidP="00E040DC">
      <w:pPr>
        <w:spacing w:after="120"/>
        <w:rPr>
          <w:rFonts w:ascii="Arial" w:hAnsi="Arial" w:cs="Arial"/>
          <w:i/>
          <w:iCs/>
          <w:lang w:eastAsia="zh-CN"/>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w:t>
      </w:r>
      <w:r w:rsidR="00051BAC">
        <w:rPr>
          <w:rFonts w:ascii="Arial" w:hAnsi="Arial" w:cs="Arial"/>
          <w:i/>
          <w:iCs/>
        </w:rPr>
        <w:t xml:space="preserve"> </w:t>
      </w:r>
      <w:r w:rsidR="00B27434">
        <w:rPr>
          <w:rFonts w:ascii="Arial" w:hAnsi="Arial" w:cs="Arial"/>
          <w:i/>
          <w:iCs/>
        </w:rPr>
        <w:t xml:space="preserve">the </w:t>
      </w:r>
      <w:r w:rsidR="00E47D64">
        <w:rPr>
          <w:rFonts w:ascii="Arial" w:hAnsi="Arial" w:cs="Arial"/>
          <w:i/>
          <w:iCs/>
        </w:rPr>
        <w:t>background on</w:t>
      </w:r>
      <w:r w:rsidR="00A70748">
        <w:rPr>
          <w:rFonts w:ascii="Arial" w:hAnsi="Arial" w:cs="Arial"/>
          <w:i/>
          <w:iCs/>
        </w:rPr>
        <w:t xml:space="preserve"> some issue faced during VMR_Ph2 work</w:t>
      </w: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54AD716B" w14:textId="5A7CCF5C" w:rsidR="00C31316" w:rsidRDefault="00C31316" w:rsidP="00531913">
      <w:pPr>
        <w:rPr>
          <w:rFonts w:ascii="Arial" w:hAnsi="Arial"/>
        </w:rPr>
      </w:pPr>
      <w:r>
        <w:rPr>
          <w:rFonts w:ascii="Arial" w:hAnsi="Arial"/>
        </w:rPr>
        <w:t>The normative work on VMR_Ph2 has started</w:t>
      </w:r>
      <w:r w:rsidR="00A70748">
        <w:rPr>
          <w:rFonts w:ascii="Arial" w:hAnsi="Arial"/>
        </w:rPr>
        <w:t xml:space="preserve"> at SA2#164</w:t>
      </w:r>
      <w:r>
        <w:rPr>
          <w:rFonts w:ascii="Arial" w:hAnsi="Arial"/>
        </w:rPr>
        <w:t xml:space="preserve"> based on the approved WID at SA#104 in </w:t>
      </w:r>
      <w:hyperlink r:id="rId14" w:history="1">
        <w:r w:rsidRPr="00C31316">
          <w:rPr>
            <w:rStyle w:val="Hyperlink"/>
            <w:rFonts w:ascii="Arial" w:hAnsi="Arial"/>
            <w:lang w:val="en-US"/>
          </w:rPr>
          <w:t>SP-24</w:t>
        </w:r>
      </w:hyperlink>
      <w:hyperlink r:id="rId15" w:history="1">
        <w:r w:rsidRPr="00C31316">
          <w:rPr>
            <w:rStyle w:val="Hyperlink"/>
            <w:rFonts w:ascii="Arial" w:hAnsi="Arial"/>
            <w:lang w:val="en-US"/>
          </w:rPr>
          <w:t>0</w:t>
        </w:r>
      </w:hyperlink>
      <w:hyperlink r:id="rId16" w:history="1">
        <w:r w:rsidRPr="00C31316">
          <w:rPr>
            <w:rStyle w:val="Hyperlink"/>
            <w:rFonts w:ascii="Arial" w:hAnsi="Arial"/>
            <w:lang w:val="en-US"/>
          </w:rPr>
          <w:t>989</w:t>
        </w:r>
      </w:hyperlink>
      <w:r>
        <w:rPr>
          <w:rFonts w:ascii="Arial" w:hAnsi="Arial"/>
        </w:rPr>
        <w:t>.</w:t>
      </w:r>
    </w:p>
    <w:p w14:paraId="49CABB7F" w14:textId="15F5A572" w:rsidR="00C31316" w:rsidRDefault="00C31316" w:rsidP="00531913">
      <w:pPr>
        <w:rPr>
          <w:rFonts w:ascii="Arial" w:hAnsi="Arial"/>
        </w:rPr>
      </w:pPr>
      <w:r>
        <w:rPr>
          <w:rFonts w:ascii="Arial" w:hAnsi="Arial"/>
        </w:rPr>
        <w:t>This</w:t>
      </w:r>
      <w:r w:rsidR="00F7692B">
        <w:rPr>
          <w:rFonts w:ascii="Arial" w:hAnsi="Arial"/>
        </w:rPr>
        <w:t xml:space="preserve"> work includes the following normative objectives:</w:t>
      </w:r>
    </w:p>
    <w:tbl>
      <w:tblPr>
        <w:tblStyle w:val="TableGrid"/>
        <w:tblW w:w="0" w:type="auto"/>
        <w:tblLook w:val="04A0" w:firstRow="1" w:lastRow="0" w:firstColumn="1" w:lastColumn="0" w:noHBand="0" w:noVBand="1"/>
      </w:tblPr>
      <w:tblGrid>
        <w:gridCol w:w="9629"/>
      </w:tblGrid>
      <w:tr w:rsidR="00F7692B" w14:paraId="1F44BC6E" w14:textId="77777777" w:rsidTr="00F7692B">
        <w:tc>
          <w:tcPr>
            <w:tcW w:w="9629" w:type="dxa"/>
          </w:tcPr>
          <w:p w14:paraId="50E2A15A" w14:textId="77777777" w:rsidR="00F7692B" w:rsidRPr="00F7692B" w:rsidRDefault="00F7692B" w:rsidP="00F7692B">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b/>
                <w:sz w:val="36"/>
                <w:lang w:eastAsia="ja-JP"/>
              </w:rPr>
            </w:pPr>
            <w:r w:rsidRPr="00F7692B">
              <w:rPr>
                <w:rFonts w:ascii="Arial" w:eastAsia="Times New Roman" w:hAnsi="Arial"/>
                <w:sz w:val="36"/>
                <w:lang w:eastAsia="ja-JP"/>
              </w:rPr>
              <w:t>4</w:t>
            </w:r>
            <w:r w:rsidRPr="00F7692B">
              <w:rPr>
                <w:rFonts w:ascii="Arial" w:eastAsia="Times New Roman" w:hAnsi="Arial"/>
                <w:sz w:val="36"/>
                <w:lang w:eastAsia="ja-JP"/>
              </w:rPr>
              <w:tab/>
              <w:t>Objective</w:t>
            </w:r>
          </w:p>
          <w:p w14:paraId="2154CB25" w14:textId="77777777" w:rsidR="00F7692B" w:rsidRPr="00F7692B" w:rsidRDefault="00F7692B" w:rsidP="00F7692B">
            <w:pPr>
              <w:overflowPunct w:val="0"/>
              <w:autoSpaceDE w:val="0"/>
              <w:autoSpaceDN w:val="0"/>
              <w:adjustRightInd w:val="0"/>
              <w:rPr>
                <w:rFonts w:eastAsia="Times New Roman"/>
                <w:iCs/>
                <w:color w:val="000000"/>
                <w:lang w:eastAsia="ja-JP"/>
              </w:rPr>
            </w:pPr>
            <w:r w:rsidRPr="00F7692B">
              <w:rPr>
                <w:rFonts w:eastAsia="Times New Roman"/>
                <w:iCs/>
                <w:color w:val="000000"/>
                <w:lang w:eastAsia="ja-JP"/>
              </w:rPr>
              <w:t xml:space="preserve">The objective of this work items is to specify the architecture enhancements, functionalities and procedures to support MWAB based on conclusions of TR 23.700-06 (clause 8). </w:t>
            </w:r>
          </w:p>
          <w:p w14:paraId="4D020EED" w14:textId="77777777" w:rsidR="00F7692B" w:rsidRPr="00F7692B" w:rsidRDefault="00F7692B" w:rsidP="00F7692B">
            <w:pPr>
              <w:overflowPunct w:val="0"/>
              <w:autoSpaceDE w:val="0"/>
              <w:autoSpaceDN w:val="0"/>
              <w:adjustRightInd w:val="0"/>
              <w:rPr>
                <w:rFonts w:eastAsia="Times New Roman"/>
                <w:iCs/>
                <w:color w:val="000000"/>
                <w:lang w:eastAsia="ja-JP"/>
              </w:rPr>
            </w:pPr>
            <w:r w:rsidRPr="00F7692B">
              <w:rPr>
                <w:rFonts w:eastAsia="Times New Roman"/>
                <w:iCs/>
                <w:color w:val="000000"/>
                <w:lang w:eastAsia="ja-JP"/>
              </w:rPr>
              <w:t>Specifically, the detailed objectives include:</w:t>
            </w:r>
          </w:p>
          <w:p w14:paraId="630374AF" w14:textId="77777777" w:rsidR="00F7692B" w:rsidRPr="00F7692B" w:rsidRDefault="00F7692B" w:rsidP="00F7692B">
            <w:pPr>
              <w:overflowPunct w:val="0"/>
              <w:autoSpaceDE w:val="0"/>
              <w:autoSpaceDN w:val="0"/>
              <w:adjustRightInd w:val="0"/>
              <w:ind w:left="568" w:hanging="284"/>
              <w:rPr>
                <w:rFonts w:ascii="CG Times (WN)" w:hAnsi="CG Times (WN)"/>
                <w:lang w:val="fr-FR" w:eastAsia="ja-JP"/>
              </w:rPr>
            </w:pPr>
            <w:r w:rsidRPr="00F7692B">
              <w:rPr>
                <w:rFonts w:ascii="CG Times (WN)" w:hAnsi="CG Times (WN)"/>
                <w:lang w:val="fr-FR" w:eastAsia="ja-JP"/>
              </w:rPr>
              <w:t>1)  providing support for the configuration of the MWAB-gNB by the OAM of the PLMN or SNPN it serves via BH PDU sessions established over the PLMN serving the MWAB-UE;</w:t>
            </w:r>
          </w:p>
          <w:p w14:paraId="16A04E92" w14:textId="77777777" w:rsidR="00F7692B" w:rsidRPr="00F7692B" w:rsidRDefault="00F7692B" w:rsidP="00F7692B">
            <w:pPr>
              <w:overflowPunct w:val="0"/>
              <w:autoSpaceDE w:val="0"/>
              <w:autoSpaceDN w:val="0"/>
              <w:adjustRightInd w:val="0"/>
              <w:ind w:left="568" w:hanging="284"/>
              <w:rPr>
                <w:rFonts w:ascii="CG Times (WN)" w:hAnsi="CG Times (WN)"/>
                <w:lang w:val="fr-FR" w:eastAsia="ja-JP"/>
              </w:rPr>
            </w:pPr>
            <w:r w:rsidRPr="00F7692B">
              <w:rPr>
                <w:rFonts w:ascii="CG Times (WN)" w:hAnsi="CG Times (WN)"/>
                <w:highlight w:val="yellow"/>
                <w:lang w:val="fr-FR" w:eastAsia="ja-JP"/>
              </w:rPr>
              <w:t>2)</w:t>
            </w:r>
            <w:r w:rsidRPr="00F7692B">
              <w:rPr>
                <w:rFonts w:ascii="CG Times (WN)" w:hAnsi="CG Times (WN)"/>
                <w:highlight w:val="yellow"/>
                <w:lang w:val="fr-FR" w:eastAsia="ja-JP"/>
              </w:rPr>
              <w:tab/>
              <w:t>authorization of the MWAB-UE by 5GC (of a PLMN or SNPN), including in the roaming case and when the authorization status changes;</w:t>
            </w:r>
          </w:p>
          <w:p w14:paraId="1EF2E738" w14:textId="77777777" w:rsidR="00F7692B" w:rsidRPr="00F7692B" w:rsidRDefault="00F7692B" w:rsidP="00F7692B">
            <w:pPr>
              <w:overflowPunct w:val="0"/>
              <w:autoSpaceDE w:val="0"/>
              <w:autoSpaceDN w:val="0"/>
              <w:adjustRightInd w:val="0"/>
              <w:ind w:left="568" w:hanging="284"/>
              <w:rPr>
                <w:rFonts w:ascii="CG Times (WN)" w:hAnsi="CG Times (WN)"/>
                <w:lang w:val="fr-FR" w:eastAsia="ja-JP"/>
              </w:rPr>
            </w:pPr>
            <w:r w:rsidRPr="00F7692B">
              <w:rPr>
                <w:rFonts w:ascii="CG Times (WN)" w:hAnsi="CG Times (WN)"/>
                <w:lang w:val="fr-FR" w:eastAsia="ja-JP"/>
              </w:rPr>
              <w:t xml:space="preserve">3) </w:t>
            </w:r>
            <w:r w:rsidRPr="00F7692B">
              <w:rPr>
                <w:rFonts w:ascii="CG Times (WN)" w:hAnsi="CG Times (WN)"/>
                <w:lang w:val="fr-FR" w:eastAsia="ja-JP"/>
              </w:rPr>
              <w:tab/>
              <w:t>enhancements to location service procedures for accurate UE location estimation when it is served by MWAB;</w:t>
            </w:r>
          </w:p>
          <w:p w14:paraId="679D2150" w14:textId="77777777" w:rsidR="00F7692B" w:rsidRPr="00F7692B" w:rsidRDefault="00F7692B" w:rsidP="00F7692B">
            <w:pPr>
              <w:overflowPunct w:val="0"/>
              <w:autoSpaceDE w:val="0"/>
              <w:autoSpaceDN w:val="0"/>
              <w:adjustRightInd w:val="0"/>
              <w:ind w:left="568" w:hanging="284"/>
              <w:rPr>
                <w:rFonts w:ascii="CG Times (WN)" w:hAnsi="CG Times (WN)"/>
                <w:lang w:val="fr-FR" w:eastAsia="ja-JP"/>
              </w:rPr>
            </w:pPr>
            <w:r w:rsidRPr="00F7692B">
              <w:rPr>
                <w:rFonts w:ascii="CG Times (WN)" w:hAnsi="CG Times (WN)"/>
                <w:highlight w:val="yellow"/>
                <w:lang w:val="fr-FR" w:eastAsia="ja-JP"/>
              </w:rPr>
              <w:t>4)</w:t>
            </w:r>
            <w:r w:rsidRPr="00F7692B">
              <w:rPr>
                <w:rFonts w:ascii="CG Times (WN)" w:hAnsi="CG Times (WN)"/>
                <w:highlight w:val="yellow"/>
                <w:lang w:val="fr-FR" w:eastAsia="ja-JP"/>
              </w:rPr>
              <w:tab/>
              <w:t xml:space="preserve"> document the support of the control of UEs’ access to MWAB by reusing CAG and/or other existing SNPN control mechanisms;</w:t>
            </w:r>
          </w:p>
          <w:p w14:paraId="1213EF54" w14:textId="77777777" w:rsidR="00F7692B" w:rsidRPr="00F7692B" w:rsidRDefault="00F7692B" w:rsidP="00F7692B">
            <w:pPr>
              <w:overflowPunct w:val="0"/>
              <w:autoSpaceDE w:val="0"/>
              <w:autoSpaceDN w:val="0"/>
              <w:adjustRightInd w:val="0"/>
              <w:ind w:left="568" w:hanging="284"/>
              <w:rPr>
                <w:rFonts w:ascii="CG Times (WN)" w:hAnsi="CG Times (WN)"/>
                <w:lang w:val="fr-FR" w:eastAsia="ja-JP"/>
              </w:rPr>
            </w:pPr>
            <w:r w:rsidRPr="00F7692B">
              <w:rPr>
                <w:rFonts w:ascii="CG Times (WN)" w:hAnsi="CG Times (WN)"/>
                <w:lang w:val="fr-FR" w:eastAsia="ja-JP"/>
              </w:rPr>
              <w:t>5)</w:t>
            </w:r>
            <w:r w:rsidRPr="00F7692B">
              <w:rPr>
                <w:rFonts w:ascii="CG Times (WN)" w:hAnsi="CG Times (WN)"/>
                <w:lang w:val="fr-FR" w:eastAsia="ja-JP"/>
              </w:rPr>
              <w:tab/>
              <w:t>support of the mobility for UEs moving together with MWAB;</w:t>
            </w:r>
          </w:p>
          <w:p w14:paraId="21D12742" w14:textId="77777777" w:rsidR="00F7692B" w:rsidRPr="00F7692B" w:rsidRDefault="00F7692B" w:rsidP="00F7692B">
            <w:pPr>
              <w:overflowPunct w:val="0"/>
              <w:autoSpaceDE w:val="0"/>
              <w:autoSpaceDN w:val="0"/>
              <w:adjustRightInd w:val="0"/>
              <w:ind w:left="568" w:hanging="284"/>
              <w:rPr>
                <w:rFonts w:ascii="CG Times (WN)" w:hAnsi="CG Times (WN)"/>
                <w:iCs/>
                <w:color w:val="000000"/>
                <w:lang w:val="fr-FR" w:eastAsia="ja-JP"/>
              </w:rPr>
            </w:pPr>
            <w:r w:rsidRPr="00F7692B">
              <w:rPr>
                <w:rFonts w:ascii="CG Times (WN)" w:hAnsi="CG Times (WN)"/>
                <w:lang w:val="fr-FR" w:eastAsia="ja-JP"/>
              </w:rPr>
              <w:t>6)</w:t>
            </w:r>
            <w:r w:rsidRPr="00F7692B">
              <w:rPr>
                <w:rFonts w:ascii="CG Times (WN)" w:hAnsi="CG Times (WN)"/>
                <w:lang w:val="fr-FR" w:eastAsia="ja-JP"/>
              </w:rPr>
              <w:tab/>
              <w:t xml:space="preserve">enhancements to support UE's emergency services when connected via a MWAB-gNB. </w:t>
            </w:r>
            <w:r w:rsidRPr="00F7692B">
              <w:rPr>
                <w:rFonts w:ascii="CG Times (WN)" w:hAnsi="CG Times (WN)"/>
                <w:iCs/>
                <w:color w:val="000000"/>
                <w:lang w:val="fr-FR" w:eastAsia="ja-JP"/>
              </w:rPr>
              <w:t xml:space="preserve"> </w:t>
            </w:r>
          </w:p>
          <w:p w14:paraId="4D4D0850" w14:textId="77777777" w:rsidR="00F7692B" w:rsidRDefault="00F7692B" w:rsidP="00531913">
            <w:pPr>
              <w:rPr>
                <w:rFonts w:ascii="Arial" w:hAnsi="Arial"/>
              </w:rPr>
            </w:pPr>
          </w:p>
        </w:tc>
      </w:tr>
    </w:tbl>
    <w:p w14:paraId="3F17EAF4" w14:textId="77777777" w:rsidR="00F7692B" w:rsidRDefault="00F7692B" w:rsidP="00531913">
      <w:pPr>
        <w:rPr>
          <w:rFonts w:ascii="Arial" w:hAnsi="Arial"/>
        </w:rPr>
      </w:pPr>
    </w:p>
    <w:p w14:paraId="150F899D" w14:textId="012BF223" w:rsidR="00F7692B" w:rsidRDefault="00F7692B" w:rsidP="00531913">
      <w:pPr>
        <w:rPr>
          <w:rFonts w:ascii="Arial" w:hAnsi="Arial"/>
        </w:rPr>
      </w:pPr>
      <w:r>
        <w:rPr>
          <w:rFonts w:ascii="Arial" w:hAnsi="Arial"/>
        </w:rPr>
        <w:t xml:space="preserve">We would like to draw the attention specifically to normative objectives 2 and 4. These were addressed by </w:t>
      </w:r>
      <w:r w:rsidRPr="00F7692B">
        <w:rPr>
          <w:rFonts w:ascii="Arial" w:hAnsi="Arial"/>
        </w:rPr>
        <w:t>two TS 23.501 CRs (</w:t>
      </w:r>
      <w:hyperlink r:id="rId17" w:history="1">
        <w:r w:rsidRPr="00F7692B">
          <w:rPr>
            <w:rStyle w:val="Hyperlink"/>
            <w:rFonts w:ascii="Arial" w:hAnsi="Arial"/>
          </w:rPr>
          <w:t>S2-2409523</w:t>
        </w:r>
      </w:hyperlink>
      <w:r>
        <w:rPr>
          <w:rFonts w:ascii="Arial" w:hAnsi="Arial"/>
        </w:rPr>
        <w:t xml:space="preserve"> </w:t>
      </w:r>
      <w:r w:rsidRPr="00F7692B">
        <w:rPr>
          <w:rFonts w:ascii="Arial" w:hAnsi="Arial"/>
        </w:rPr>
        <w:t xml:space="preserve"> on Authorization and </w:t>
      </w:r>
      <w:hyperlink r:id="rId18" w:history="1">
        <w:r w:rsidRPr="00F7692B">
          <w:rPr>
            <w:rStyle w:val="Hyperlink"/>
            <w:rFonts w:ascii="Arial" w:hAnsi="Arial"/>
          </w:rPr>
          <w:t>S2-2409244</w:t>
        </w:r>
      </w:hyperlink>
      <w:r w:rsidRPr="00F7692B">
        <w:rPr>
          <w:rFonts w:ascii="Arial" w:hAnsi="Arial"/>
        </w:rPr>
        <w:t xml:space="preserve"> on Access Control</w:t>
      </w:r>
      <w:r>
        <w:rPr>
          <w:rFonts w:ascii="Arial" w:hAnsi="Arial"/>
        </w:rPr>
        <w:t>) discussed at the SA2#164 meeting. These CR</w:t>
      </w:r>
      <w:r w:rsidR="00C85E07">
        <w:rPr>
          <w:rFonts w:ascii="Arial" w:hAnsi="Arial"/>
        </w:rPr>
        <w:t xml:space="preserve">s </w:t>
      </w:r>
      <w:r>
        <w:rPr>
          <w:rFonts w:ascii="Arial" w:hAnsi="Arial"/>
        </w:rPr>
        <w:t>were objected by one company on these grounds:</w:t>
      </w:r>
    </w:p>
    <w:p w14:paraId="1C87FC8D" w14:textId="77777777" w:rsidR="00F7692B" w:rsidRDefault="00F7692B" w:rsidP="00531913">
      <w:pPr>
        <w:rPr>
          <w:rFonts w:ascii="Arial" w:hAnsi="Arial"/>
        </w:rPr>
      </w:pPr>
    </w:p>
    <w:tbl>
      <w:tblPr>
        <w:tblStyle w:val="TableGrid"/>
        <w:tblW w:w="0" w:type="auto"/>
        <w:tblLook w:val="04A0" w:firstRow="1" w:lastRow="0" w:firstColumn="1" w:lastColumn="0" w:noHBand="0" w:noVBand="1"/>
      </w:tblPr>
      <w:tblGrid>
        <w:gridCol w:w="9629"/>
      </w:tblGrid>
      <w:tr w:rsidR="00F7692B" w14:paraId="6471FB72" w14:textId="77777777" w:rsidTr="00F7692B">
        <w:tc>
          <w:tcPr>
            <w:tcW w:w="9629" w:type="dxa"/>
          </w:tcPr>
          <w:p w14:paraId="46A976C7" w14:textId="77777777" w:rsidR="00F7692B" w:rsidRPr="00F7692B" w:rsidRDefault="00F7692B" w:rsidP="00F7692B">
            <w:pPr>
              <w:spacing w:after="0"/>
              <w:rPr>
                <w:rFonts w:ascii="Calibri" w:eastAsia="Aptos" w:hAnsi="Calibri" w:cs="Calibri"/>
                <w:sz w:val="22"/>
                <w:szCs w:val="22"/>
                <w:lang w:val="en-IN"/>
              </w:rPr>
            </w:pPr>
            <w:r w:rsidRPr="00F7692B">
              <w:rPr>
                <w:rFonts w:ascii="Calibri" w:eastAsia="Aptos" w:hAnsi="Calibri" w:cs="Calibri"/>
                <w:sz w:val="22"/>
                <w:szCs w:val="22"/>
                <w:lang w:val="en-IN"/>
              </w:rPr>
              <w:t xml:space="preserve">“For access control and authorization </w:t>
            </w:r>
            <w:r w:rsidRPr="00F7692B">
              <w:rPr>
                <w:rFonts w:ascii="Calibri" w:eastAsia="Aptos" w:hAnsi="Calibri" w:cs="Calibri"/>
                <w:sz w:val="22"/>
                <w:szCs w:val="22"/>
                <w:u w:val="single"/>
                <w:lang w:val="en-IN"/>
              </w:rPr>
              <w:t>aspects</w:t>
            </w:r>
            <w:r w:rsidRPr="00F7692B">
              <w:rPr>
                <w:rFonts w:ascii="Calibri" w:eastAsia="Aptos" w:hAnsi="Calibri" w:cs="Calibri"/>
                <w:sz w:val="22"/>
                <w:szCs w:val="22"/>
                <w:lang w:val="en-IN"/>
              </w:rPr>
              <w:t xml:space="preserve"> of MWAB-UE:</w:t>
            </w:r>
          </w:p>
          <w:p w14:paraId="6E3E84BC" w14:textId="77777777" w:rsidR="00F7692B" w:rsidRPr="00F7692B" w:rsidRDefault="00F7692B" w:rsidP="00F7692B">
            <w:pPr>
              <w:spacing w:after="0"/>
              <w:rPr>
                <w:rFonts w:ascii="Calibri" w:eastAsia="Aptos" w:hAnsi="Calibri" w:cs="Calibri"/>
                <w:sz w:val="22"/>
                <w:szCs w:val="22"/>
                <w:lang w:val="en-IN"/>
              </w:rPr>
            </w:pPr>
            <w:r w:rsidRPr="00F7692B">
              <w:rPr>
                <w:rFonts w:ascii="Calibri" w:eastAsia="Aptos" w:hAnsi="Calibri" w:cs="Calibri"/>
                <w:sz w:val="22"/>
                <w:szCs w:val="22"/>
                <w:lang w:val="en-IN"/>
              </w:rPr>
              <w:t xml:space="preserve">a) Conclusions of the study is to reuse existing procedures. </w:t>
            </w:r>
          </w:p>
          <w:p w14:paraId="6F771555" w14:textId="77777777" w:rsidR="00F7692B" w:rsidRPr="00F7692B" w:rsidRDefault="00F7692B" w:rsidP="00F7692B">
            <w:pPr>
              <w:spacing w:after="0"/>
              <w:rPr>
                <w:rFonts w:ascii="Calibri" w:eastAsia="Aptos" w:hAnsi="Calibri" w:cs="Calibri"/>
                <w:sz w:val="22"/>
                <w:szCs w:val="22"/>
                <w:lang w:val="en-IN"/>
              </w:rPr>
            </w:pPr>
            <w:r w:rsidRPr="00F7692B">
              <w:rPr>
                <w:rFonts w:ascii="Calibri" w:eastAsia="Aptos" w:hAnsi="Calibri" w:cs="Calibri"/>
                <w:sz w:val="22"/>
                <w:szCs w:val="22"/>
                <w:lang w:val="en-IN"/>
              </w:rPr>
              <w:t>b) The MWAB-UE is a normal UE.</w:t>
            </w:r>
          </w:p>
          <w:p w14:paraId="467A5397" w14:textId="77777777" w:rsidR="00F7692B" w:rsidRPr="00F7692B" w:rsidRDefault="00F7692B" w:rsidP="00F7692B">
            <w:pPr>
              <w:spacing w:after="0"/>
              <w:rPr>
                <w:rFonts w:ascii="Calibri" w:eastAsia="Aptos" w:hAnsi="Calibri" w:cs="Calibri"/>
                <w:sz w:val="22"/>
                <w:szCs w:val="22"/>
                <w:lang w:val="en-IN"/>
              </w:rPr>
            </w:pPr>
            <w:r w:rsidRPr="00F7692B">
              <w:rPr>
                <w:rFonts w:ascii="Calibri" w:eastAsia="Aptos" w:hAnsi="Calibri" w:cs="Calibri"/>
                <w:sz w:val="22"/>
                <w:szCs w:val="22"/>
                <w:lang w:val="en-IN"/>
              </w:rPr>
              <w:t>c) There is no difference in behaviour/configuration available between MWAB-UE and normal UE.</w:t>
            </w:r>
          </w:p>
          <w:p w14:paraId="5DE5AF7B" w14:textId="77777777" w:rsidR="00F7692B" w:rsidRPr="00F7692B" w:rsidRDefault="00F7692B" w:rsidP="00F7692B">
            <w:pPr>
              <w:spacing w:after="0"/>
              <w:rPr>
                <w:rFonts w:ascii="Calibri" w:eastAsia="Aptos" w:hAnsi="Calibri" w:cs="Calibri"/>
                <w:sz w:val="22"/>
                <w:szCs w:val="22"/>
                <w:lang w:val="en-IN"/>
              </w:rPr>
            </w:pPr>
          </w:p>
          <w:p w14:paraId="4F89E38A" w14:textId="6B3F6C55" w:rsidR="00F7692B" w:rsidRPr="00F7692B" w:rsidRDefault="00F7692B" w:rsidP="00F7692B">
            <w:pPr>
              <w:spacing w:after="0"/>
              <w:rPr>
                <w:rFonts w:ascii="Calibri" w:eastAsia="Aptos" w:hAnsi="Calibri" w:cs="Calibri"/>
                <w:sz w:val="22"/>
                <w:szCs w:val="22"/>
                <w:lang w:val="en-IN"/>
              </w:rPr>
            </w:pPr>
            <w:r w:rsidRPr="00F7692B">
              <w:rPr>
                <w:rFonts w:ascii="Calibri" w:eastAsia="Aptos" w:hAnsi="Calibri" w:cs="Calibri"/>
                <w:sz w:val="22"/>
                <w:szCs w:val="22"/>
                <w:lang w:val="en-IN"/>
              </w:rPr>
              <w:t>Thus, we have concerns in duplicating the normative text</w:t>
            </w:r>
            <w:r w:rsidR="00743A38">
              <w:rPr>
                <w:rFonts w:ascii="Calibri" w:eastAsia="Aptos" w:hAnsi="Calibri" w:cs="Calibri"/>
                <w:sz w:val="22"/>
                <w:szCs w:val="22"/>
                <w:lang w:val="en-IN"/>
              </w:rPr>
              <w:t xml:space="preserve"> </w:t>
            </w:r>
            <w:r w:rsidRPr="00F7692B">
              <w:rPr>
                <w:rFonts w:ascii="Calibri" w:eastAsia="Aptos" w:hAnsi="Calibri" w:cs="Calibri"/>
                <w:sz w:val="22"/>
                <w:szCs w:val="22"/>
                <w:lang w:val="en-IN"/>
              </w:rPr>
              <w:t xml:space="preserve">(as proposed in S2-2409523 and S2-2409244) already available for CAG, SNPN and Slicing feature in MWAB clause again. </w:t>
            </w:r>
          </w:p>
          <w:p w14:paraId="77EB0783" w14:textId="77777777" w:rsidR="00F7692B" w:rsidRPr="00F7692B" w:rsidRDefault="00F7692B" w:rsidP="00F7692B">
            <w:pPr>
              <w:spacing w:after="0"/>
              <w:rPr>
                <w:rFonts w:ascii="Calibri" w:eastAsia="Aptos" w:hAnsi="Calibri" w:cs="Calibri"/>
                <w:sz w:val="22"/>
                <w:szCs w:val="22"/>
                <w:lang w:val="en-IN"/>
              </w:rPr>
            </w:pPr>
          </w:p>
          <w:p w14:paraId="386060E5" w14:textId="32F7E600" w:rsidR="00F7692B" w:rsidRDefault="00F7692B" w:rsidP="00F7692B">
            <w:pPr>
              <w:spacing w:after="0"/>
              <w:rPr>
                <w:rFonts w:ascii="Arial" w:hAnsi="Arial"/>
              </w:rPr>
            </w:pPr>
            <w:r w:rsidRPr="00F7692B">
              <w:rPr>
                <w:rFonts w:ascii="Calibri" w:eastAsia="Aptos" w:hAnsi="Calibri" w:cs="Calibri"/>
                <w:sz w:val="22"/>
                <w:szCs w:val="22"/>
                <w:lang w:val="en-IN"/>
              </w:rPr>
              <w:t xml:space="preserve">In our view, without these CRs </w:t>
            </w:r>
            <w:r w:rsidR="00743A38" w:rsidRPr="00F7692B">
              <w:rPr>
                <w:rFonts w:ascii="Calibri" w:eastAsia="Aptos" w:hAnsi="Calibri" w:cs="Calibri"/>
                <w:sz w:val="22"/>
                <w:szCs w:val="22"/>
                <w:lang w:val="en-IN"/>
              </w:rPr>
              <w:t>these features</w:t>
            </w:r>
            <w:r w:rsidRPr="00F7692B">
              <w:rPr>
                <w:rFonts w:ascii="Calibri" w:eastAsia="Aptos" w:hAnsi="Calibri" w:cs="Calibri"/>
                <w:sz w:val="22"/>
                <w:szCs w:val="22"/>
                <w:lang w:val="en-IN"/>
              </w:rPr>
              <w:t xml:space="preserve"> are fully supported. If proponents of the CRs believe any guidance is necessary for implementers on how to configure MWAB using existing </w:t>
            </w:r>
            <w:r w:rsidR="00743A38" w:rsidRPr="00F7692B">
              <w:rPr>
                <w:rFonts w:ascii="Calibri" w:eastAsia="Aptos" w:hAnsi="Calibri" w:cs="Calibri"/>
                <w:sz w:val="22"/>
                <w:szCs w:val="22"/>
                <w:lang w:val="en-IN"/>
              </w:rPr>
              <w:t>procedures,</w:t>
            </w:r>
            <w:r w:rsidRPr="00F7692B">
              <w:rPr>
                <w:rFonts w:ascii="Calibri" w:eastAsia="Aptos" w:hAnsi="Calibri" w:cs="Calibri"/>
                <w:sz w:val="22"/>
                <w:szCs w:val="22"/>
                <w:lang w:val="en-IN"/>
              </w:rPr>
              <w:t xml:space="preserve"> then such guidance should be documented as informative annex.”</w:t>
            </w:r>
          </w:p>
        </w:tc>
      </w:tr>
    </w:tbl>
    <w:p w14:paraId="1A674345" w14:textId="77777777" w:rsidR="00F7692B" w:rsidRDefault="00F7692B" w:rsidP="00531913">
      <w:pPr>
        <w:rPr>
          <w:rFonts w:ascii="Arial" w:hAnsi="Arial"/>
        </w:rPr>
      </w:pPr>
    </w:p>
    <w:p w14:paraId="7BBA212A" w14:textId="798D51E2" w:rsidR="00743A38" w:rsidRPr="00A06647" w:rsidRDefault="00743A38" w:rsidP="00531913">
      <w:pPr>
        <w:rPr>
          <w:rFonts w:ascii="Arial" w:hAnsi="Arial"/>
        </w:rPr>
      </w:pPr>
      <w:r>
        <w:rPr>
          <w:rFonts w:ascii="Arial" w:hAnsi="Arial"/>
        </w:rPr>
        <w:t>T</w:t>
      </w:r>
      <w:r w:rsidR="00F7692B">
        <w:rPr>
          <w:rFonts w:ascii="Arial" w:hAnsi="Arial"/>
        </w:rPr>
        <w:t>he normative text</w:t>
      </w:r>
      <w:r>
        <w:rPr>
          <w:rFonts w:ascii="Arial" w:hAnsi="Arial"/>
        </w:rPr>
        <w:t xml:space="preserve">, however, </w:t>
      </w:r>
      <w:r w:rsidR="00F7692B">
        <w:rPr>
          <w:rFonts w:ascii="Arial" w:hAnsi="Arial"/>
        </w:rPr>
        <w:t>is required to state that some features are reused by the MWAB-UE to behave as expected. Indeed, in rel-18 the behaviour for access control and authorization for MBSR was specified</w:t>
      </w:r>
      <w:r w:rsidR="00C45687">
        <w:rPr>
          <w:rFonts w:ascii="Arial" w:eastAsia="Malgun Gothic" w:hAnsi="Arial" w:hint="eastAsia"/>
          <w:lang w:eastAsia="ko-KR"/>
        </w:rPr>
        <w:t xml:space="preserve"> in clause </w:t>
      </w:r>
      <w:r w:rsidR="00C45687" w:rsidRPr="00C45687">
        <w:rPr>
          <w:rFonts w:ascii="Arial" w:eastAsia="Malgun Gothic" w:hAnsi="Arial"/>
          <w:lang w:eastAsia="ko-KR"/>
        </w:rPr>
        <w:t>5.35A.7</w:t>
      </w:r>
      <w:r w:rsidR="00C45687">
        <w:rPr>
          <w:rFonts w:ascii="Arial" w:eastAsia="Malgun Gothic" w:hAnsi="Arial" w:hint="eastAsia"/>
          <w:lang w:eastAsia="ko-KR"/>
        </w:rPr>
        <w:t xml:space="preserve"> and clause </w:t>
      </w:r>
      <w:r w:rsidR="00C45687" w:rsidRPr="00C45687">
        <w:rPr>
          <w:rFonts w:ascii="Arial" w:eastAsia="Malgun Gothic" w:hAnsi="Arial"/>
          <w:lang w:eastAsia="ko-KR"/>
        </w:rPr>
        <w:t>5.35A.4</w:t>
      </w:r>
      <w:r w:rsidR="00C45687">
        <w:rPr>
          <w:rFonts w:ascii="Arial" w:eastAsia="Malgun Gothic" w:hAnsi="Arial" w:hint="eastAsia"/>
          <w:lang w:eastAsia="ko-KR"/>
        </w:rPr>
        <w:t xml:space="preserve"> in TS 23.501, respectively.</w:t>
      </w:r>
      <w:r w:rsidR="00F7692B">
        <w:rPr>
          <w:rFonts w:ascii="Arial" w:hAnsi="Arial"/>
        </w:rPr>
        <w:t xml:space="preserve"> </w:t>
      </w:r>
      <w:r>
        <w:rPr>
          <w:rFonts w:ascii="Arial" w:hAnsi="Arial"/>
        </w:rPr>
        <w:t>F</w:t>
      </w:r>
      <w:r w:rsidR="00F7692B">
        <w:rPr>
          <w:rFonts w:ascii="Arial" w:hAnsi="Arial"/>
        </w:rPr>
        <w:t>or</w:t>
      </w:r>
      <w:r w:rsidR="00A70748">
        <w:rPr>
          <w:rFonts w:ascii="Arial" w:hAnsi="Arial"/>
        </w:rPr>
        <w:t>,</w:t>
      </w:r>
      <w:r w:rsidR="00F7692B">
        <w:rPr>
          <w:rFonts w:ascii="Arial" w:hAnsi="Arial"/>
        </w:rPr>
        <w:t xml:space="preserve"> access control</w:t>
      </w:r>
      <w:r>
        <w:rPr>
          <w:rFonts w:ascii="Arial" w:hAnsi="Arial"/>
        </w:rPr>
        <w:t xml:space="preserve"> to a MBSR,</w:t>
      </w:r>
      <w:r w:rsidR="00F7692B">
        <w:rPr>
          <w:rFonts w:ascii="Arial" w:hAnsi="Arial"/>
        </w:rPr>
        <w:t xml:space="preserve"> the same behaviour was documented</w:t>
      </w:r>
      <w:r>
        <w:rPr>
          <w:rFonts w:ascii="Arial" w:hAnsi="Arial"/>
        </w:rPr>
        <w:t xml:space="preserve"> as now has been proposed for access to a MWAB. F</w:t>
      </w:r>
      <w:r w:rsidR="00F7692B">
        <w:rPr>
          <w:rFonts w:ascii="Arial" w:hAnsi="Arial"/>
        </w:rPr>
        <w:t>or</w:t>
      </w:r>
      <w:r>
        <w:rPr>
          <w:rFonts w:ascii="Arial" w:hAnsi="Arial"/>
        </w:rPr>
        <w:t xml:space="preserve"> MWAB-UE</w:t>
      </w:r>
      <w:r w:rsidR="00F7692B">
        <w:rPr>
          <w:rFonts w:ascii="Arial" w:hAnsi="Arial"/>
        </w:rPr>
        <w:t xml:space="preserve"> authorization there is a difference in the MWAB-U</w:t>
      </w:r>
      <w:r>
        <w:rPr>
          <w:rFonts w:ascii="Arial" w:hAnsi="Arial"/>
        </w:rPr>
        <w:t>E</w:t>
      </w:r>
      <w:r w:rsidR="00F7692B">
        <w:rPr>
          <w:rFonts w:ascii="Arial" w:hAnsi="Arial"/>
        </w:rPr>
        <w:t xml:space="preserve"> behaviour compared to the MBSR-UE behaviour, nonetheless the MWAB-UE behaviour </w:t>
      </w:r>
      <w:r>
        <w:rPr>
          <w:rFonts w:ascii="Arial" w:hAnsi="Arial"/>
        </w:rPr>
        <w:t xml:space="preserve">still </w:t>
      </w:r>
      <w:r w:rsidR="00F7692B">
        <w:rPr>
          <w:rFonts w:ascii="Arial" w:hAnsi="Arial"/>
        </w:rPr>
        <w:t>needs to be documented</w:t>
      </w:r>
      <w:r>
        <w:rPr>
          <w:rFonts w:ascii="Arial" w:hAnsi="Arial"/>
        </w:rPr>
        <w:t xml:space="preserve"> even if there is no longer </w:t>
      </w:r>
      <w:r w:rsidR="00A06647">
        <w:rPr>
          <w:rFonts w:ascii="Arial" w:hAnsi="Arial"/>
        </w:rPr>
        <w:t xml:space="preserve">the </w:t>
      </w:r>
      <w:r>
        <w:rPr>
          <w:rFonts w:ascii="Arial" w:hAnsi="Arial"/>
        </w:rPr>
        <w:t xml:space="preserve">need to impact the existing UE </w:t>
      </w:r>
      <w:r w:rsidR="00A06647">
        <w:rPr>
          <w:rFonts w:ascii="Arial" w:hAnsi="Arial"/>
        </w:rPr>
        <w:t xml:space="preserve">protocol and procedures </w:t>
      </w:r>
      <w:r>
        <w:rPr>
          <w:rFonts w:ascii="Arial" w:hAnsi="Arial"/>
        </w:rPr>
        <w:t>(it needs to be clarified normatively</w:t>
      </w:r>
      <w:r w:rsidR="00A06647">
        <w:rPr>
          <w:rFonts w:ascii="Arial" w:hAnsi="Arial"/>
        </w:rPr>
        <w:t xml:space="preserve"> that the existing UE behaviour is reused and how this impacts the MWAB authorization overall</w:t>
      </w:r>
      <w:r w:rsidR="009D3205">
        <w:rPr>
          <w:rFonts w:ascii="Arial" w:hAnsi="Arial"/>
        </w:rPr>
        <w:t>)</w:t>
      </w:r>
      <w:r w:rsidR="00A06647">
        <w:rPr>
          <w:rFonts w:ascii="Arial" w:hAnsi="Arial"/>
        </w:rPr>
        <w:t>.</w:t>
      </w:r>
      <w:r>
        <w:rPr>
          <w:rFonts w:ascii="Arial" w:hAnsi="Arial"/>
        </w:rPr>
        <w:t xml:space="preserve">  </w:t>
      </w:r>
      <w:r w:rsidR="009D3205">
        <w:rPr>
          <w:rFonts w:ascii="Arial" w:hAnsi="Arial"/>
        </w:rPr>
        <w:t>A</w:t>
      </w:r>
      <w:r>
        <w:rPr>
          <w:rFonts w:ascii="Arial" w:hAnsi="Arial"/>
        </w:rPr>
        <w:t xml:space="preserve">lso some specific behaviour clarification </w:t>
      </w:r>
      <w:r w:rsidR="009D3205">
        <w:rPr>
          <w:rFonts w:ascii="Arial" w:hAnsi="Arial"/>
        </w:rPr>
        <w:t>is required</w:t>
      </w:r>
      <w:r w:rsidR="00A06647">
        <w:rPr>
          <w:rFonts w:ascii="Arial" w:hAnsi="Arial"/>
        </w:rPr>
        <w:t xml:space="preserve"> </w:t>
      </w:r>
      <w:r w:rsidR="001C0136">
        <w:rPr>
          <w:rFonts w:ascii="Arial" w:hAnsi="Arial"/>
        </w:rPr>
        <w:t>for the interaction between</w:t>
      </w:r>
      <w:r w:rsidR="00A06647">
        <w:rPr>
          <w:rFonts w:ascii="Arial" w:hAnsi="Arial"/>
        </w:rPr>
        <w:t xml:space="preserve"> </w:t>
      </w:r>
      <w:r w:rsidR="009D3205">
        <w:rPr>
          <w:rFonts w:ascii="Arial" w:hAnsi="Arial"/>
        </w:rPr>
        <w:t xml:space="preserve">the MWAB-UE authorization </w:t>
      </w:r>
      <w:r w:rsidR="001C0136">
        <w:rPr>
          <w:rFonts w:ascii="Arial" w:hAnsi="Arial"/>
        </w:rPr>
        <w:t xml:space="preserve">and </w:t>
      </w:r>
      <w:r>
        <w:rPr>
          <w:rFonts w:ascii="Arial" w:hAnsi="Arial"/>
        </w:rPr>
        <w:t>MWAB-</w:t>
      </w:r>
      <w:proofErr w:type="spellStart"/>
      <w:r>
        <w:rPr>
          <w:rFonts w:ascii="Arial" w:hAnsi="Arial"/>
        </w:rPr>
        <w:t>gNB</w:t>
      </w:r>
      <w:proofErr w:type="spellEnd"/>
      <w:r>
        <w:rPr>
          <w:rFonts w:ascii="Arial" w:hAnsi="Arial"/>
        </w:rPr>
        <w:t xml:space="preserve"> operation.</w:t>
      </w:r>
      <w:r>
        <w:rPr>
          <w:rFonts w:ascii="Arial" w:hAnsi="Arial" w:cs="Arial"/>
        </w:rPr>
        <w:t xml:space="preserve"> </w:t>
      </w:r>
    </w:p>
    <w:p w14:paraId="53C03512" w14:textId="02E99512" w:rsidR="00F7692B" w:rsidRDefault="00743A38" w:rsidP="00531913">
      <w:pPr>
        <w:rPr>
          <w:rFonts w:ascii="Arial" w:hAnsi="Arial" w:cs="Arial"/>
        </w:rPr>
      </w:pPr>
      <w:r>
        <w:rPr>
          <w:rFonts w:ascii="Arial" w:hAnsi="Arial" w:cs="Arial"/>
        </w:rPr>
        <w:t>If any aspect in the CRs referenced above was perceived to be unnecessary in the normative text in the normative clauses (which are anyhow required</w:t>
      </w:r>
      <w:r w:rsidR="00A70748">
        <w:rPr>
          <w:rFonts w:ascii="Arial" w:hAnsi="Arial" w:cs="Arial"/>
        </w:rPr>
        <w:t xml:space="preserve"> to meet the normative objectives</w:t>
      </w:r>
      <w:r>
        <w:rPr>
          <w:rFonts w:ascii="Arial" w:hAnsi="Arial" w:cs="Arial"/>
        </w:rPr>
        <w:t xml:space="preserve">), the right approach should be </w:t>
      </w:r>
      <w:r w:rsidR="001C3F0A">
        <w:rPr>
          <w:rFonts w:ascii="Arial" w:hAnsi="Arial" w:cs="Arial"/>
        </w:rPr>
        <w:t xml:space="preserve">to </w:t>
      </w:r>
      <w:r>
        <w:rPr>
          <w:rFonts w:ascii="Arial" w:hAnsi="Arial" w:cs="Arial"/>
        </w:rPr>
        <w:t xml:space="preserve">consider the inclusion of the text as a note in the clauses, but there is definitely no need to create informative annexes (also this would set a precedent that would lead to a dramatic proliferation of </w:t>
      </w:r>
      <w:r w:rsidR="001C3F0A">
        <w:rPr>
          <w:rFonts w:ascii="Arial" w:hAnsi="Arial" w:cs="Arial"/>
        </w:rPr>
        <w:t>informative</w:t>
      </w:r>
      <w:r>
        <w:rPr>
          <w:rFonts w:ascii="Arial" w:hAnsi="Arial" w:cs="Arial"/>
        </w:rPr>
        <w:t xml:space="preserve"> annexes</w:t>
      </w:r>
      <w:r w:rsidR="001C3F0A">
        <w:rPr>
          <w:rFonts w:ascii="Arial" w:hAnsi="Arial" w:cs="Arial"/>
        </w:rPr>
        <w:t xml:space="preserve"> in SA2 specifications</w:t>
      </w:r>
      <w:r>
        <w:rPr>
          <w:rFonts w:ascii="Arial" w:hAnsi="Arial" w:cs="Arial"/>
        </w:rPr>
        <w:t>).</w:t>
      </w:r>
    </w:p>
    <w:p w14:paraId="676B1B57" w14:textId="1F3147A0" w:rsidR="00E80CCB" w:rsidRDefault="00E80CCB" w:rsidP="00531913">
      <w:pPr>
        <w:rPr>
          <w:rFonts w:ascii="Arial" w:hAnsi="Arial" w:cs="Arial"/>
        </w:rPr>
      </w:pPr>
      <w:r w:rsidRPr="004C2188">
        <w:rPr>
          <w:rFonts w:ascii="Arial" w:hAnsi="Arial" w:cs="Arial"/>
        </w:rPr>
        <w:t xml:space="preserve">TR 21.801 </w:t>
      </w:r>
      <w:r w:rsidR="00DE4837" w:rsidRPr="004C2188">
        <w:rPr>
          <w:rFonts w:ascii="Arial" w:hAnsi="Arial" w:cs="Arial"/>
        </w:rPr>
        <w:t xml:space="preserve">“Specification Drafting Rules” defines the following: </w:t>
      </w:r>
    </w:p>
    <w:tbl>
      <w:tblPr>
        <w:tblStyle w:val="TableGrid"/>
        <w:tblW w:w="0" w:type="auto"/>
        <w:tblLook w:val="04A0" w:firstRow="1" w:lastRow="0" w:firstColumn="1" w:lastColumn="0" w:noHBand="0" w:noVBand="1"/>
      </w:tblPr>
      <w:tblGrid>
        <w:gridCol w:w="9629"/>
      </w:tblGrid>
      <w:tr w:rsidR="001C0136" w14:paraId="6FD6F1AF" w14:textId="77777777" w:rsidTr="001C0136">
        <w:tc>
          <w:tcPr>
            <w:tcW w:w="9629" w:type="dxa"/>
          </w:tcPr>
          <w:p w14:paraId="5CE6E118" w14:textId="77777777" w:rsidR="001C0136" w:rsidRPr="004C2188" w:rsidRDefault="001C0136" w:rsidP="001C0136">
            <w:pPr>
              <w:pStyle w:val="Heading2"/>
              <w:rPr>
                <w:i/>
                <w:iCs/>
              </w:rPr>
            </w:pPr>
            <w:r w:rsidRPr="004C2188">
              <w:rPr>
                <w:i/>
                <w:iCs/>
              </w:rPr>
              <w:t>6.3</w:t>
            </w:r>
            <w:r w:rsidRPr="004C2188">
              <w:rPr>
                <w:i/>
                <w:iCs/>
              </w:rPr>
              <w:tab/>
              <w:t>Technical normative elements</w:t>
            </w:r>
          </w:p>
          <w:p w14:paraId="20564271" w14:textId="77777777" w:rsidR="001C0136" w:rsidRPr="004C2188" w:rsidRDefault="001C0136" w:rsidP="001C0136">
            <w:pPr>
              <w:pStyle w:val="EW"/>
              <w:rPr>
                <w:i/>
                <w:iCs/>
              </w:rPr>
            </w:pPr>
            <w:r w:rsidRPr="004C2188">
              <w:rPr>
                <w:i/>
                <w:iCs/>
              </w:rPr>
              <w:t>[…]</w:t>
            </w:r>
          </w:p>
          <w:p w14:paraId="283FB208" w14:textId="77777777" w:rsidR="001C0136" w:rsidRPr="004C2188" w:rsidRDefault="001C0136" w:rsidP="001C0136">
            <w:pPr>
              <w:pStyle w:val="Heading3"/>
              <w:rPr>
                <w:i/>
                <w:iCs/>
              </w:rPr>
            </w:pPr>
            <w:r w:rsidRPr="004C2188">
              <w:rPr>
                <w:i/>
                <w:iCs/>
              </w:rPr>
              <w:t>6.3.3</w:t>
            </w:r>
            <w:r w:rsidRPr="004C2188">
              <w:rPr>
                <w:i/>
                <w:iCs/>
              </w:rPr>
              <w:tab/>
              <w:t>Requirements</w:t>
            </w:r>
          </w:p>
          <w:p w14:paraId="2E9DB39A" w14:textId="77777777" w:rsidR="001C0136" w:rsidRPr="004C2188" w:rsidRDefault="001C0136" w:rsidP="001C0136">
            <w:pPr>
              <w:rPr>
                <w:i/>
                <w:iCs/>
              </w:rPr>
            </w:pPr>
            <w:r w:rsidRPr="004C2188">
              <w:rPr>
                <w:i/>
                <w:iCs/>
              </w:rPr>
              <w:t>This element is only applicable to TSs. It shall contain the following:</w:t>
            </w:r>
          </w:p>
          <w:p w14:paraId="72FFD47D" w14:textId="77777777" w:rsidR="001C0136" w:rsidRPr="004C2188" w:rsidRDefault="001C0136" w:rsidP="001C0136">
            <w:pPr>
              <w:pStyle w:val="B1"/>
              <w:rPr>
                <w:i/>
                <w:iCs/>
              </w:rPr>
            </w:pPr>
            <w:r w:rsidRPr="004C2188">
              <w:rPr>
                <w:i/>
                <w:iCs/>
              </w:rPr>
              <w:t>a)</w:t>
            </w:r>
            <w:r w:rsidRPr="004C2188">
              <w:rPr>
                <w:i/>
                <w:iCs/>
              </w:rPr>
              <w:tab/>
            </w:r>
            <w:r w:rsidRPr="004C2188">
              <w:rPr>
                <w:b/>
                <w:bCs/>
                <w:i/>
                <w:iCs/>
                <w:u w:val="single"/>
              </w:rPr>
              <w:t xml:space="preserve">all characteristics relevant to the aspect(s) of the product(s), process(es) or service(s) covered by the 3GPP TS or 3GPP TR, either explicitly or by </w:t>
            </w:r>
            <w:proofErr w:type="gramStart"/>
            <w:r w:rsidRPr="004C2188">
              <w:rPr>
                <w:b/>
                <w:bCs/>
                <w:i/>
                <w:iCs/>
                <w:u w:val="single"/>
              </w:rPr>
              <w:t>reference;</w:t>
            </w:r>
            <w:proofErr w:type="gramEnd"/>
          </w:p>
          <w:p w14:paraId="5B87AC6E" w14:textId="77777777" w:rsidR="001C0136" w:rsidRPr="004C2188" w:rsidRDefault="001C0136" w:rsidP="001C0136">
            <w:pPr>
              <w:pStyle w:val="B1"/>
              <w:rPr>
                <w:i/>
                <w:iCs/>
              </w:rPr>
            </w:pPr>
            <w:r w:rsidRPr="004C2188">
              <w:rPr>
                <w:i/>
                <w:iCs/>
              </w:rPr>
              <w:t>b)</w:t>
            </w:r>
            <w:r w:rsidRPr="004C2188">
              <w:rPr>
                <w:i/>
                <w:iCs/>
              </w:rPr>
              <w:tab/>
              <w:t>the required limiting values of quantifiable characteristics.</w:t>
            </w:r>
          </w:p>
          <w:p w14:paraId="7EEEDCE3" w14:textId="77777777" w:rsidR="001C0136" w:rsidRPr="004C2188" w:rsidRDefault="001C0136" w:rsidP="001C0136">
            <w:pPr>
              <w:rPr>
                <w:i/>
                <w:iCs/>
              </w:rPr>
            </w:pPr>
            <w:r w:rsidRPr="004C2188">
              <w:rPr>
                <w:i/>
                <w:iCs/>
              </w:rPr>
              <w:t>For test methods see clause 6.3.5.</w:t>
            </w:r>
          </w:p>
          <w:p w14:paraId="2C9CE401" w14:textId="77777777" w:rsidR="001C0136" w:rsidRPr="004C2188" w:rsidRDefault="001C0136" w:rsidP="001C0136">
            <w:pPr>
              <w:rPr>
                <w:i/>
                <w:iCs/>
              </w:rPr>
            </w:pPr>
            <w:r w:rsidRPr="004C2188">
              <w:rPr>
                <w:i/>
                <w:iCs/>
              </w:rPr>
              <w:t>A clear distinction shall be made between requirements, statements and recommendations.</w:t>
            </w:r>
          </w:p>
          <w:p w14:paraId="19E3D7CD" w14:textId="77777777" w:rsidR="001C0136" w:rsidRPr="004C2188" w:rsidRDefault="001C0136" w:rsidP="001C0136">
            <w:pPr>
              <w:rPr>
                <w:i/>
                <w:iCs/>
              </w:rPr>
            </w:pPr>
            <w:r w:rsidRPr="004C2188">
              <w:rPr>
                <w:i/>
                <w:iCs/>
              </w:rPr>
              <w:t>Contractual requirements concerning claims, guarantees, covering of expenses, etc. shall not be included.</w:t>
            </w:r>
          </w:p>
          <w:p w14:paraId="54DA9A5B" w14:textId="77777777" w:rsidR="001C0136" w:rsidRPr="004C2188" w:rsidRDefault="001C0136" w:rsidP="001C0136">
            <w:pPr>
              <w:rPr>
                <w:i/>
                <w:iCs/>
              </w:rPr>
            </w:pPr>
            <w:r w:rsidRPr="004C2188">
              <w:rPr>
                <w:i/>
                <w:iCs/>
              </w:rPr>
              <w: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t>
            </w:r>
          </w:p>
          <w:p w14:paraId="61606874" w14:textId="77777777" w:rsidR="001C0136" w:rsidRPr="004C2188" w:rsidRDefault="001C0136" w:rsidP="001C0136">
            <w:pPr>
              <w:rPr>
                <w:i/>
                <w:iCs/>
              </w:rPr>
            </w:pPr>
            <w:r w:rsidRPr="004C2188">
              <w:rPr>
                <w:i/>
                <w:iCs/>
              </w:rPr>
              <w:t>3GPP TSs or 3GPP TRs listing characteristics for which suppliers are required to state values that are not specified by the 3GPP TS or 3GPP TR itself shall specify how such values are to be measured and stated.</w:t>
            </w:r>
          </w:p>
          <w:p w14:paraId="4A940A59" w14:textId="77777777" w:rsidR="001C0136" w:rsidRPr="004C2188" w:rsidRDefault="001C0136" w:rsidP="001C0136">
            <w:pPr>
              <w:rPr>
                <w:i/>
                <w:iCs/>
              </w:rPr>
            </w:pPr>
            <w:r w:rsidRPr="004C2188">
              <w:rPr>
                <w:i/>
                <w:iCs/>
              </w:rPr>
              <w:t>For endorsement of documents from other standards organizations, see annex J.</w:t>
            </w:r>
          </w:p>
          <w:p w14:paraId="3CB7BCE8" w14:textId="77777777" w:rsidR="001C0136" w:rsidRDefault="001C0136" w:rsidP="00531913">
            <w:pPr>
              <w:rPr>
                <w:rFonts w:ascii="Arial" w:hAnsi="Arial" w:cs="Arial"/>
              </w:rPr>
            </w:pPr>
          </w:p>
        </w:tc>
      </w:tr>
    </w:tbl>
    <w:p w14:paraId="3D337859" w14:textId="77777777" w:rsidR="009D3205" w:rsidRPr="004C2188" w:rsidRDefault="009D3205" w:rsidP="00531913">
      <w:pPr>
        <w:rPr>
          <w:rFonts w:ascii="Arial" w:hAnsi="Arial" w:cs="Arial"/>
        </w:rPr>
      </w:pPr>
    </w:p>
    <w:p w14:paraId="01BD0044" w14:textId="617FF429" w:rsidR="00531913" w:rsidRPr="00531913" w:rsidRDefault="00531913" w:rsidP="00531913">
      <w:pPr>
        <w:rPr>
          <w:rFonts w:ascii="Arial" w:hAnsi="Arial" w:cs="Arial"/>
          <w:sz w:val="28"/>
          <w:szCs w:val="28"/>
        </w:rPr>
      </w:pPr>
      <w:r w:rsidRPr="00531913">
        <w:rPr>
          <w:rFonts w:ascii="Arial" w:hAnsi="Arial" w:cs="Arial"/>
          <w:sz w:val="28"/>
          <w:szCs w:val="28"/>
        </w:rPr>
        <w:t xml:space="preserve">2. </w:t>
      </w:r>
      <w:r w:rsidR="00C85E07">
        <w:rPr>
          <w:rFonts w:ascii="Arial" w:hAnsi="Arial" w:cs="Arial"/>
          <w:sz w:val="28"/>
          <w:szCs w:val="28"/>
        </w:rPr>
        <w:t>Proposal for agreement</w:t>
      </w:r>
    </w:p>
    <w:p w14:paraId="5E3FE424" w14:textId="22381D75" w:rsidR="00F7692B" w:rsidRDefault="00F7692B">
      <w:pPr>
        <w:rPr>
          <w:rFonts w:ascii="Arial" w:hAnsi="Arial" w:cs="Arial"/>
        </w:rPr>
      </w:pPr>
      <w:r>
        <w:rPr>
          <w:rFonts w:ascii="Arial" w:hAnsi="Arial" w:cs="Arial"/>
        </w:rPr>
        <w:t>It is propose</w:t>
      </w:r>
      <w:r w:rsidR="00C85E07">
        <w:rPr>
          <w:rFonts w:ascii="Arial" w:hAnsi="Arial" w:cs="Arial"/>
        </w:rPr>
        <w:t>d</w:t>
      </w:r>
      <w:r>
        <w:rPr>
          <w:rFonts w:ascii="Arial" w:hAnsi="Arial" w:cs="Arial"/>
        </w:rPr>
        <w:t xml:space="preserve"> that TSG SA confirms that even if existing features are reused by another feature, there is </w:t>
      </w:r>
      <w:r w:rsidR="001807A5">
        <w:rPr>
          <w:rFonts w:ascii="Arial" w:hAnsi="Arial" w:cs="Arial"/>
        </w:rPr>
        <w:t xml:space="preserve">a </w:t>
      </w:r>
      <w:r>
        <w:rPr>
          <w:rFonts w:ascii="Arial" w:hAnsi="Arial" w:cs="Arial"/>
        </w:rPr>
        <w:t>need to document this reuse</w:t>
      </w:r>
      <w:r w:rsidR="00743A38">
        <w:rPr>
          <w:rFonts w:ascii="Arial" w:hAnsi="Arial" w:cs="Arial"/>
        </w:rPr>
        <w:t xml:space="preserve"> to complete the normative work</w:t>
      </w:r>
      <w:r>
        <w:rPr>
          <w:rFonts w:ascii="Arial" w:hAnsi="Arial" w:cs="Arial"/>
        </w:rPr>
        <w:t>.</w:t>
      </w:r>
      <w:r w:rsidR="00743A38">
        <w:rPr>
          <w:rFonts w:ascii="Arial" w:hAnsi="Arial" w:cs="Arial"/>
        </w:rPr>
        <w:t xml:space="preserve"> </w:t>
      </w:r>
      <w:r w:rsidR="00C85E07">
        <w:rPr>
          <w:rFonts w:ascii="Arial" w:hAnsi="Arial" w:cs="Arial"/>
        </w:rPr>
        <w:t xml:space="preserve">This should be </w:t>
      </w:r>
      <w:r w:rsidR="001807A5">
        <w:rPr>
          <w:rFonts w:ascii="Arial" w:hAnsi="Arial" w:cs="Arial"/>
        </w:rPr>
        <w:t xml:space="preserve">documented in the </w:t>
      </w:r>
      <w:r w:rsidR="00C85E07">
        <w:rPr>
          <w:rFonts w:ascii="Arial" w:hAnsi="Arial" w:cs="Arial"/>
        </w:rPr>
        <w:t>minute</w:t>
      </w:r>
      <w:r w:rsidR="00BA2E88">
        <w:rPr>
          <w:rFonts w:ascii="Arial" w:hAnsi="Arial" w:cs="Arial"/>
        </w:rPr>
        <w:t>s</w:t>
      </w:r>
      <w:r w:rsidR="00C85E07">
        <w:rPr>
          <w:rFonts w:ascii="Arial" w:hAnsi="Arial" w:cs="Arial"/>
        </w:rPr>
        <w:t xml:space="preserve"> </w:t>
      </w:r>
      <w:r w:rsidR="00BA2E88">
        <w:rPr>
          <w:rFonts w:ascii="Arial" w:hAnsi="Arial" w:cs="Arial"/>
        </w:rPr>
        <w:t xml:space="preserve">of </w:t>
      </w:r>
      <w:r w:rsidR="00C85E07">
        <w:rPr>
          <w:rFonts w:ascii="Arial" w:hAnsi="Arial" w:cs="Arial"/>
        </w:rPr>
        <w:t>the meeting as a guidance to resolve this specific issue.</w:t>
      </w:r>
    </w:p>
    <w:sectPr w:rsidR="00F769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DE3E2" w14:textId="77777777" w:rsidR="00485CFD" w:rsidRDefault="00485CFD">
      <w:r>
        <w:separator/>
      </w:r>
    </w:p>
  </w:endnote>
  <w:endnote w:type="continuationSeparator" w:id="0">
    <w:p w14:paraId="08AC0AD8" w14:textId="77777777" w:rsidR="00485CFD" w:rsidRDefault="00485CFD">
      <w:r>
        <w:continuationSeparator/>
      </w:r>
    </w:p>
  </w:endnote>
  <w:endnote w:type="continuationNotice" w:id="1">
    <w:p w14:paraId="73F957AB" w14:textId="77777777" w:rsidR="00485CFD" w:rsidRDefault="00485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36DD7" w14:textId="77777777" w:rsidR="00485CFD" w:rsidRDefault="00485CFD">
      <w:r>
        <w:separator/>
      </w:r>
    </w:p>
  </w:footnote>
  <w:footnote w:type="continuationSeparator" w:id="0">
    <w:p w14:paraId="419A6EDD" w14:textId="77777777" w:rsidR="00485CFD" w:rsidRDefault="00485CFD">
      <w:r>
        <w:continuationSeparator/>
      </w:r>
    </w:p>
  </w:footnote>
  <w:footnote w:type="continuationNotice" w:id="1">
    <w:p w14:paraId="66E83DD4" w14:textId="77777777" w:rsidR="00485CFD" w:rsidRDefault="00485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F57C62"/>
    <w:multiLevelType w:val="hybridMultilevel"/>
    <w:tmpl w:val="8BA6BF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23D24D1"/>
    <w:multiLevelType w:val="hybridMultilevel"/>
    <w:tmpl w:val="5B4E24EA"/>
    <w:lvl w:ilvl="0" w:tplc="AE72E09A">
      <w:start w:val="1"/>
      <w:numFmt w:val="decimal"/>
      <w:lvlText w:val="%1."/>
      <w:lvlJc w:val="left"/>
      <w:pPr>
        <w:ind w:left="1020" w:hanging="360"/>
      </w:pPr>
    </w:lvl>
    <w:lvl w:ilvl="1" w:tplc="32BCB86E">
      <w:start w:val="1"/>
      <w:numFmt w:val="decimal"/>
      <w:lvlText w:val="%2."/>
      <w:lvlJc w:val="left"/>
      <w:pPr>
        <w:ind w:left="1020" w:hanging="360"/>
      </w:pPr>
    </w:lvl>
    <w:lvl w:ilvl="2" w:tplc="CBECACB8">
      <w:start w:val="1"/>
      <w:numFmt w:val="decimal"/>
      <w:lvlText w:val="%3."/>
      <w:lvlJc w:val="left"/>
      <w:pPr>
        <w:ind w:left="1020" w:hanging="360"/>
      </w:pPr>
    </w:lvl>
    <w:lvl w:ilvl="3" w:tplc="8442636A">
      <w:start w:val="1"/>
      <w:numFmt w:val="decimal"/>
      <w:lvlText w:val="%4."/>
      <w:lvlJc w:val="left"/>
      <w:pPr>
        <w:ind w:left="1020" w:hanging="360"/>
      </w:pPr>
    </w:lvl>
    <w:lvl w:ilvl="4" w:tplc="7756795E">
      <w:start w:val="1"/>
      <w:numFmt w:val="decimal"/>
      <w:lvlText w:val="%5."/>
      <w:lvlJc w:val="left"/>
      <w:pPr>
        <w:ind w:left="1020" w:hanging="360"/>
      </w:pPr>
    </w:lvl>
    <w:lvl w:ilvl="5" w:tplc="70700012">
      <w:start w:val="1"/>
      <w:numFmt w:val="decimal"/>
      <w:lvlText w:val="%6."/>
      <w:lvlJc w:val="left"/>
      <w:pPr>
        <w:ind w:left="1020" w:hanging="360"/>
      </w:pPr>
    </w:lvl>
    <w:lvl w:ilvl="6" w:tplc="07269338">
      <w:start w:val="1"/>
      <w:numFmt w:val="decimal"/>
      <w:lvlText w:val="%7."/>
      <w:lvlJc w:val="left"/>
      <w:pPr>
        <w:ind w:left="1020" w:hanging="360"/>
      </w:pPr>
    </w:lvl>
    <w:lvl w:ilvl="7" w:tplc="614653CA">
      <w:start w:val="1"/>
      <w:numFmt w:val="decimal"/>
      <w:lvlText w:val="%8."/>
      <w:lvlJc w:val="left"/>
      <w:pPr>
        <w:ind w:left="1020" w:hanging="360"/>
      </w:pPr>
    </w:lvl>
    <w:lvl w:ilvl="8" w:tplc="C252803A">
      <w:start w:val="1"/>
      <w:numFmt w:val="decimal"/>
      <w:lvlText w:val="%9."/>
      <w:lvlJc w:val="left"/>
      <w:pPr>
        <w:ind w:left="1020" w:hanging="36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6B483B"/>
    <w:multiLevelType w:val="hybridMultilevel"/>
    <w:tmpl w:val="91003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76C4F"/>
    <w:multiLevelType w:val="multilevel"/>
    <w:tmpl w:val="CB948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54D7D"/>
    <w:multiLevelType w:val="hybridMultilevel"/>
    <w:tmpl w:val="155AA264"/>
    <w:lvl w:ilvl="0" w:tplc="449201C4">
      <w:start w:val="1"/>
      <w:numFmt w:val="decimal"/>
      <w:lvlText w:val="%1."/>
      <w:lvlJc w:val="left"/>
      <w:pPr>
        <w:ind w:left="1020" w:hanging="360"/>
      </w:pPr>
    </w:lvl>
    <w:lvl w:ilvl="1" w:tplc="0F9643CE">
      <w:start w:val="1"/>
      <w:numFmt w:val="decimal"/>
      <w:lvlText w:val="%2."/>
      <w:lvlJc w:val="left"/>
      <w:pPr>
        <w:ind w:left="1020" w:hanging="360"/>
      </w:pPr>
    </w:lvl>
    <w:lvl w:ilvl="2" w:tplc="9A90F282">
      <w:start w:val="1"/>
      <w:numFmt w:val="decimal"/>
      <w:lvlText w:val="%3."/>
      <w:lvlJc w:val="left"/>
      <w:pPr>
        <w:ind w:left="1020" w:hanging="360"/>
      </w:pPr>
    </w:lvl>
    <w:lvl w:ilvl="3" w:tplc="0BFAD052">
      <w:start w:val="1"/>
      <w:numFmt w:val="decimal"/>
      <w:lvlText w:val="%4."/>
      <w:lvlJc w:val="left"/>
      <w:pPr>
        <w:ind w:left="1020" w:hanging="360"/>
      </w:pPr>
    </w:lvl>
    <w:lvl w:ilvl="4" w:tplc="7318B9CC">
      <w:start w:val="1"/>
      <w:numFmt w:val="decimal"/>
      <w:lvlText w:val="%5."/>
      <w:lvlJc w:val="left"/>
      <w:pPr>
        <w:ind w:left="1020" w:hanging="360"/>
      </w:pPr>
    </w:lvl>
    <w:lvl w:ilvl="5" w:tplc="5C56ACD0">
      <w:start w:val="1"/>
      <w:numFmt w:val="decimal"/>
      <w:lvlText w:val="%6."/>
      <w:lvlJc w:val="left"/>
      <w:pPr>
        <w:ind w:left="1020" w:hanging="360"/>
      </w:pPr>
    </w:lvl>
    <w:lvl w:ilvl="6" w:tplc="2140E648">
      <w:start w:val="1"/>
      <w:numFmt w:val="decimal"/>
      <w:lvlText w:val="%7."/>
      <w:lvlJc w:val="left"/>
      <w:pPr>
        <w:ind w:left="1020" w:hanging="360"/>
      </w:pPr>
    </w:lvl>
    <w:lvl w:ilvl="7" w:tplc="DCD0A6D6">
      <w:start w:val="1"/>
      <w:numFmt w:val="decimal"/>
      <w:lvlText w:val="%8."/>
      <w:lvlJc w:val="left"/>
      <w:pPr>
        <w:ind w:left="1020" w:hanging="360"/>
      </w:pPr>
    </w:lvl>
    <w:lvl w:ilvl="8" w:tplc="EA242014">
      <w:start w:val="1"/>
      <w:numFmt w:val="decimal"/>
      <w:lvlText w:val="%9."/>
      <w:lvlJc w:val="left"/>
      <w:pPr>
        <w:ind w:left="1020" w:hanging="36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7"/>
  </w:num>
  <w:num w:numId="5" w16cid:durableId="514806075">
    <w:abstractNumId w:val="16"/>
  </w:num>
  <w:num w:numId="6" w16cid:durableId="2068987896">
    <w:abstractNumId w:val="11"/>
  </w:num>
  <w:num w:numId="7" w16cid:durableId="1596789694">
    <w:abstractNumId w:val="12"/>
  </w:num>
  <w:num w:numId="8" w16cid:durableId="110980972">
    <w:abstractNumId w:val="25"/>
  </w:num>
  <w:num w:numId="9" w16cid:durableId="1368330473">
    <w:abstractNumId w:val="20"/>
  </w:num>
  <w:num w:numId="10" w16cid:durableId="1845122699">
    <w:abstractNumId w:val="23"/>
  </w:num>
  <w:num w:numId="11" w16cid:durableId="1720471763">
    <w:abstractNumId w:val="15"/>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1244875679">
    <w:abstractNumId w:val="21"/>
  </w:num>
  <w:num w:numId="24" w16cid:durableId="2124184958">
    <w:abstractNumId w:val="14"/>
  </w:num>
  <w:num w:numId="25" w16cid:durableId="1451046927">
    <w:abstractNumId w:val="18"/>
  </w:num>
  <w:num w:numId="26" w16cid:durableId="1904834528">
    <w:abstractNumId w:val="24"/>
  </w:num>
  <w:num w:numId="27" w16cid:durableId="5034699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TY2NjAzNjcwMrRU0lEKTi0uzszPAykwrAUA1O6P7iwAAAA="/>
  </w:docVars>
  <w:rsids>
    <w:rsidRoot w:val="00E30155"/>
    <w:rsid w:val="00012515"/>
    <w:rsid w:val="00013DE5"/>
    <w:rsid w:val="00016D53"/>
    <w:rsid w:val="00034556"/>
    <w:rsid w:val="00046389"/>
    <w:rsid w:val="00051BAC"/>
    <w:rsid w:val="00067616"/>
    <w:rsid w:val="00071294"/>
    <w:rsid w:val="00074722"/>
    <w:rsid w:val="000819D8"/>
    <w:rsid w:val="000934A6"/>
    <w:rsid w:val="000964DC"/>
    <w:rsid w:val="000A2C6C"/>
    <w:rsid w:val="000A4660"/>
    <w:rsid w:val="000D1B5B"/>
    <w:rsid w:val="001038E2"/>
    <w:rsid w:val="0010401F"/>
    <w:rsid w:val="001052C7"/>
    <w:rsid w:val="00112FC3"/>
    <w:rsid w:val="00134FB9"/>
    <w:rsid w:val="00143DAE"/>
    <w:rsid w:val="00147AFD"/>
    <w:rsid w:val="00151195"/>
    <w:rsid w:val="00173FA3"/>
    <w:rsid w:val="0017698A"/>
    <w:rsid w:val="00177855"/>
    <w:rsid w:val="001807A5"/>
    <w:rsid w:val="00184B6F"/>
    <w:rsid w:val="001861E5"/>
    <w:rsid w:val="00192D17"/>
    <w:rsid w:val="001A0CA7"/>
    <w:rsid w:val="001A2B39"/>
    <w:rsid w:val="001A4990"/>
    <w:rsid w:val="001B1652"/>
    <w:rsid w:val="001B6EB3"/>
    <w:rsid w:val="001C0136"/>
    <w:rsid w:val="001C3EC8"/>
    <w:rsid w:val="001C3F0A"/>
    <w:rsid w:val="001D2BD4"/>
    <w:rsid w:val="001D4258"/>
    <w:rsid w:val="001D6911"/>
    <w:rsid w:val="001F7F68"/>
    <w:rsid w:val="00201947"/>
    <w:rsid w:val="0020395B"/>
    <w:rsid w:val="002046CB"/>
    <w:rsid w:val="00204ACB"/>
    <w:rsid w:val="00204DC9"/>
    <w:rsid w:val="002062C0"/>
    <w:rsid w:val="00215130"/>
    <w:rsid w:val="00217336"/>
    <w:rsid w:val="002241BA"/>
    <w:rsid w:val="00230002"/>
    <w:rsid w:val="00241F20"/>
    <w:rsid w:val="00244C9A"/>
    <w:rsid w:val="00247216"/>
    <w:rsid w:val="00266700"/>
    <w:rsid w:val="002707CA"/>
    <w:rsid w:val="00280905"/>
    <w:rsid w:val="002939F9"/>
    <w:rsid w:val="002A1857"/>
    <w:rsid w:val="002B3C9D"/>
    <w:rsid w:val="002C3E25"/>
    <w:rsid w:val="002C7F38"/>
    <w:rsid w:val="002D299D"/>
    <w:rsid w:val="0030394F"/>
    <w:rsid w:val="0030628A"/>
    <w:rsid w:val="003149DF"/>
    <w:rsid w:val="00334094"/>
    <w:rsid w:val="0035122B"/>
    <w:rsid w:val="00353451"/>
    <w:rsid w:val="00357B46"/>
    <w:rsid w:val="003612BE"/>
    <w:rsid w:val="00370A78"/>
    <w:rsid w:val="00371032"/>
    <w:rsid w:val="00371B44"/>
    <w:rsid w:val="003739B7"/>
    <w:rsid w:val="003C122B"/>
    <w:rsid w:val="003C5A97"/>
    <w:rsid w:val="003C69B5"/>
    <w:rsid w:val="003C7A04"/>
    <w:rsid w:val="003E121B"/>
    <w:rsid w:val="003E791D"/>
    <w:rsid w:val="003F52B2"/>
    <w:rsid w:val="004026B4"/>
    <w:rsid w:val="00402BAB"/>
    <w:rsid w:val="004032D7"/>
    <w:rsid w:val="00434157"/>
    <w:rsid w:val="00440414"/>
    <w:rsid w:val="004410CD"/>
    <w:rsid w:val="004557DC"/>
    <w:rsid w:val="004558E9"/>
    <w:rsid w:val="00456F55"/>
    <w:rsid w:val="0045777E"/>
    <w:rsid w:val="00485CFD"/>
    <w:rsid w:val="004B3753"/>
    <w:rsid w:val="004C2188"/>
    <w:rsid w:val="004C31D2"/>
    <w:rsid w:val="004D3B12"/>
    <w:rsid w:val="004D55C2"/>
    <w:rsid w:val="004F143A"/>
    <w:rsid w:val="005063E6"/>
    <w:rsid w:val="00507888"/>
    <w:rsid w:val="005158C3"/>
    <w:rsid w:val="00521131"/>
    <w:rsid w:val="00527C0B"/>
    <w:rsid w:val="00530EC8"/>
    <w:rsid w:val="00531913"/>
    <w:rsid w:val="00534D83"/>
    <w:rsid w:val="00537E2A"/>
    <w:rsid w:val="005410F6"/>
    <w:rsid w:val="00547902"/>
    <w:rsid w:val="005727B4"/>
    <w:rsid w:val="005729C4"/>
    <w:rsid w:val="0059227B"/>
    <w:rsid w:val="0059531C"/>
    <w:rsid w:val="005A5B39"/>
    <w:rsid w:val="005B0966"/>
    <w:rsid w:val="005B795D"/>
    <w:rsid w:val="005C22E0"/>
    <w:rsid w:val="005C518D"/>
    <w:rsid w:val="005C62F8"/>
    <w:rsid w:val="005D2D13"/>
    <w:rsid w:val="005D48A3"/>
    <w:rsid w:val="005E368C"/>
    <w:rsid w:val="00610508"/>
    <w:rsid w:val="00613820"/>
    <w:rsid w:val="00624CE8"/>
    <w:rsid w:val="006404E8"/>
    <w:rsid w:val="00644E06"/>
    <w:rsid w:val="00645C90"/>
    <w:rsid w:val="0064670D"/>
    <w:rsid w:val="00652248"/>
    <w:rsid w:val="00657B80"/>
    <w:rsid w:val="00670A89"/>
    <w:rsid w:val="006718D4"/>
    <w:rsid w:val="006751AA"/>
    <w:rsid w:val="00675B3C"/>
    <w:rsid w:val="00680BC5"/>
    <w:rsid w:val="0069490C"/>
    <w:rsid w:val="0069495C"/>
    <w:rsid w:val="006961F4"/>
    <w:rsid w:val="0069629B"/>
    <w:rsid w:val="006A74F9"/>
    <w:rsid w:val="006C5FAF"/>
    <w:rsid w:val="006D340A"/>
    <w:rsid w:val="00705807"/>
    <w:rsid w:val="00715A1D"/>
    <w:rsid w:val="0073758A"/>
    <w:rsid w:val="00743A38"/>
    <w:rsid w:val="00760BB0"/>
    <w:rsid w:val="0076157A"/>
    <w:rsid w:val="007621FF"/>
    <w:rsid w:val="00763D8A"/>
    <w:rsid w:val="00766AAF"/>
    <w:rsid w:val="007749FB"/>
    <w:rsid w:val="00777227"/>
    <w:rsid w:val="00784593"/>
    <w:rsid w:val="00797294"/>
    <w:rsid w:val="007A00EF"/>
    <w:rsid w:val="007B19EA"/>
    <w:rsid w:val="007C02A3"/>
    <w:rsid w:val="007C0A2D"/>
    <w:rsid w:val="007C27B0"/>
    <w:rsid w:val="007C3194"/>
    <w:rsid w:val="007C6A2A"/>
    <w:rsid w:val="007E2AF4"/>
    <w:rsid w:val="007E616E"/>
    <w:rsid w:val="007F2611"/>
    <w:rsid w:val="007F300B"/>
    <w:rsid w:val="007F5107"/>
    <w:rsid w:val="008014C3"/>
    <w:rsid w:val="0080508D"/>
    <w:rsid w:val="0080758F"/>
    <w:rsid w:val="00807B88"/>
    <w:rsid w:val="0081379A"/>
    <w:rsid w:val="00825247"/>
    <w:rsid w:val="008261D3"/>
    <w:rsid w:val="008429E2"/>
    <w:rsid w:val="00850812"/>
    <w:rsid w:val="00857CB7"/>
    <w:rsid w:val="00876B9A"/>
    <w:rsid w:val="00881C01"/>
    <w:rsid w:val="00886B81"/>
    <w:rsid w:val="00886CBD"/>
    <w:rsid w:val="00892C5E"/>
    <w:rsid w:val="00893329"/>
    <w:rsid w:val="008933BF"/>
    <w:rsid w:val="008A10C4"/>
    <w:rsid w:val="008A434B"/>
    <w:rsid w:val="008B0248"/>
    <w:rsid w:val="008D191D"/>
    <w:rsid w:val="008F5F33"/>
    <w:rsid w:val="0091046A"/>
    <w:rsid w:val="00911B8C"/>
    <w:rsid w:val="00926ABD"/>
    <w:rsid w:val="00947F4E"/>
    <w:rsid w:val="00953356"/>
    <w:rsid w:val="009570E1"/>
    <w:rsid w:val="00966D47"/>
    <w:rsid w:val="00992312"/>
    <w:rsid w:val="009927FE"/>
    <w:rsid w:val="009960BF"/>
    <w:rsid w:val="009A4B2F"/>
    <w:rsid w:val="009B768D"/>
    <w:rsid w:val="009C0DED"/>
    <w:rsid w:val="009D3205"/>
    <w:rsid w:val="009E1524"/>
    <w:rsid w:val="009E1F8B"/>
    <w:rsid w:val="009E2ADA"/>
    <w:rsid w:val="009F30EF"/>
    <w:rsid w:val="00A02388"/>
    <w:rsid w:val="00A06647"/>
    <w:rsid w:val="00A12127"/>
    <w:rsid w:val="00A13344"/>
    <w:rsid w:val="00A16B06"/>
    <w:rsid w:val="00A20ED6"/>
    <w:rsid w:val="00A23C7C"/>
    <w:rsid w:val="00A25C61"/>
    <w:rsid w:val="00A34BD2"/>
    <w:rsid w:val="00A355A0"/>
    <w:rsid w:val="00A37D7F"/>
    <w:rsid w:val="00A42C2A"/>
    <w:rsid w:val="00A46410"/>
    <w:rsid w:val="00A54829"/>
    <w:rsid w:val="00A57688"/>
    <w:rsid w:val="00A70748"/>
    <w:rsid w:val="00A8085E"/>
    <w:rsid w:val="00A842E9"/>
    <w:rsid w:val="00A84A94"/>
    <w:rsid w:val="00AA25E7"/>
    <w:rsid w:val="00AC0EF1"/>
    <w:rsid w:val="00AD0E47"/>
    <w:rsid w:val="00AD1DAA"/>
    <w:rsid w:val="00AF1E23"/>
    <w:rsid w:val="00AF6262"/>
    <w:rsid w:val="00AF7F81"/>
    <w:rsid w:val="00B01AFF"/>
    <w:rsid w:val="00B05CC7"/>
    <w:rsid w:val="00B06B64"/>
    <w:rsid w:val="00B27434"/>
    <w:rsid w:val="00B27E39"/>
    <w:rsid w:val="00B350D8"/>
    <w:rsid w:val="00B76763"/>
    <w:rsid w:val="00B7732B"/>
    <w:rsid w:val="00B879F0"/>
    <w:rsid w:val="00B943D2"/>
    <w:rsid w:val="00BA2E88"/>
    <w:rsid w:val="00BA5151"/>
    <w:rsid w:val="00BB5897"/>
    <w:rsid w:val="00BB7902"/>
    <w:rsid w:val="00BC25AA"/>
    <w:rsid w:val="00BE4338"/>
    <w:rsid w:val="00BE4B82"/>
    <w:rsid w:val="00C007FB"/>
    <w:rsid w:val="00C022E3"/>
    <w:rsid w:val="00C02BF5"/>
    <w:rsid w:val="00C15316"/>
    <w:rsid w:val="00C156DB"/>
    <w:rsid w:val="00C16717"/>
    <w:rsid w:val="00C20BF0"/>
    <w:rsid w:val="00C22D17"/>
    <w:rsid w:val="00C24957"/>
    <w:rsid w:val="00C26BB2"/>
    <w:rsid w:val="00C31316"/>
    <w:rsid w:val="00C45687"/>
    <w:rsid w:val="00C4712D"/>
    <w:rsid w:val="00C5326C"/>
    <w:rsid w:val="00C555C9"/>
    <w:rsid w:val="00C61B67"/>
    <w:rsid w:val="00C718AA"/>
    <w:rsid w:val="00C85E07"/>
    <w:rsid w:val="00C94F55"/>
    <w:rsid w:val="00CA0712"/>
    <w:rsid w:val="00CA080A"/>
    <w:rsid w:val="00CA7D62"/>
    <w:rsid w:val="00CB07A8"/>
    <w:rsid w:val="00CD4A57"/>
    <w:rsid w:val="00CE1E73"/>
    <w:rsid w:val="00CE3411"/>
    <w:rsid w:val="00CF39A5"/>
    <w:rsid w:val="00D072AF"/>
    <w:rsid w:val="00D146F1"/>
    <w:rsid w:val="00D16D8B"/>
    <w:rsid w:val="00D33604"/>
    <w:rsid w:val="00D37B08"/>
    <w:rsid w:val="00D40358"/>
    <w:rsid w:val="00D42709"/>
    <w:rsid w:val="00D437FF"/>
    <w:rsid w:val="00D5130C"/>
    <w:rsid w:val="00D62265"/>
    <w:rsid w:val="00D62BF4"/>
    <w:rsid w:val="00D74EAA"/>
    <w:rsid w:val="00D76F3A"/>
    <w:rsid w:val="00D8512E"/>
    <w:rsid w:val="00D9118C"/>
    <w:rsid w:val="00D91635"/>
    <w:rsid w:val="00D95454"/>
    <w:rsid w:val="00DA0B8A"/>
    <w:rsid w:val="00DA1E58"/>
    <w:rsid w:val="00DA7750"/>
    <w:rsid w:val="00DB6C7C"/>
    <w:rsid w:val="00DC1055"/>
    <w:rsid w:val="00DD0A3E"/>
    <w:rsid w:val="00DE417D"/>
    <w:rsid w:val="00DE4837"/>
    <w:rsid w:val="00DE4EF2"/>
    <w:rsid w:val="00DE50AF"/>
    <w:rsid w:val="00DF2C0E"/>
    <w:rsid w:val="00E00A77"/>
    <w:rsid w:val="00E01584"/>
    <w:rsid w:val="00E040DC"/>
    <w:rsid w:val="00E04DB6"/>
    <w:rsid w:val="00E06FFB"/>
    <w:rsid w:val="00E30155"/>
    <w:rsid w:val="00E365EC"/>
    <w:rsid w:val="00E418A2"/>
    <w:rsid w:val="00E45395"/>
    <w:rsid w:val="00E47D64"/>
    <w:rsid w:val="00E712C1"/>
    <w:rsid w:val="00E7571B"/>
    <w:rsid w:val="00E80CCB"/>
    <w:rsid w:val="00E91FE1"/>
    <w:rsid w:val="00E951BC"/>
    <w:rsid w:val="00EA138F"/>
    <w:rsid w:val="00EA5E95"/>
    <w:rsid w:val="00EB3C2A"/>
    <w:rsid w:val="00ED4954"/>
    <w:rsid w:val="00ED5A43"/>
    <w:rsid w:val="00EE074D"/>
    <w:rsid w:val="00EE0943"/>
    <w:rsid w:val="00EE33A2"/>
    <w:rsid w:val="00F13326"/>
    <w:rsid w:val="00F54757"/>
    <w:rsid w:val="00F63DC8"/>
    <w:rsid w:val="00F67A1C"/>
    <w:rsid w:val="00F7692B"/>
    <w:rsid w:val="00F82C5B"/>
    <w:rsid w:val="00F8555F"/>
    <w:rsid w:val="00F90866"/>
    <w:rsid w:val="00F97F0B"/>
    <w:rsid w:val="00FA549C"/>
    <w:rsid w:val="00FB145A"/>
    <w:rsid w:val="00FB21EE"/>
    <w:rsid w:val="00FB3E36"/>
    <w:rsid w:val="00FB5F56"/>
    <w:rsid w:val="00FE36BB"/>
    <w:rsid w:val="00FE6F70"/>
    <w:rsid w:val="00FF28C9"/>
    <w:rsid w:val="00FF39B0"/>
    <w:rsid w:val="0A05A71E"/>
    <w:rsid w:val="1674AF16"/>
    <w:rsid w:val="1D0CE124"/>
    <w:rsid w:val="3D0CE2EB"/>
    <w:rsid w:val="6BA20E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F7EBEF94-0A85-442D-8C06-01F931EC0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 w:type="table" w:styleId="TableGrid">
    <w:name w:val="Table Grid"/>
    <w:basedOn w:val="TableNormal"/>
    <w:rsid w:val="00B2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40358"/>
    <w:pPr>
      <w:spacing w:before="100" w:beforeAutospacing="1" w:after="100" w:afterAutospacing="1"/>
      <w:ind w:left="300"/>
    </w:pPr>
    <w:rPr>
      <w:rFonts w:eastAsia="Times New Roman"/>
      <w:sz w:val="24"/>
      <w:szCs w:val="24"/>
      <w:lang w:eastAsia="en-GB"/>
    </w:rPr>
  </w:style>
  <w:style w:type="character" w:customStyle="1" w:styleId="cf01">
    <w:name w:val="cf01"/>
    <w:basedOn w:val="DefaultParagraphFont"/>
    <w:rsid w:val="00D40358"/>
    <w:rPr>
      <w:rFonts w:ascii="Segoe UI" w:hAnsi="Segoe UI" w:cs="Segoe UI" w:hint="default"/>
      <w:sz w:val="18"/>
      <w:szCs w:val="18"/>
    </w:rPr>
  </w:style>
  <w:style w:type="character" w:styleId="UnresolvedMention">
    <w:name w:val="Unresolved Mention"/>
    <w:basedOn w:val="DefaultParagraphFont"/>
    <w:uiPriority w:val="99"/>
    <w:semiHidden/>
    <w:unhideWhenUsed/>
    <w:rsid w:val="00C31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5304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5586067">
      <w:bodyDiv w:val="1"/>
      <w:marLeft w:val="0"/>
      <w:marRight w:val="0"/>
      <w:marTop w:val="0"/>
      <w:marBottom w:val="0"/>
      <w:divBdr>
        <w:top w:val="none" w:sz="0" w:space="0" w:color="auto"/>
        <w:left w:val="none" w:sz="0" w:space="0" w:color="auto"/>
        <w:bottom w:val="none" w:sz="0" w:space="0" w:color="auto"/>
        <w:right w:val="none" w:sz="0" w:space="0" w:color="auto"/>
      </w:divBdr>
    </w:div>
    <w:div w:id="3059346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855727496">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881326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8638482">
      <w:bodyDiv w:val="1"/>
      <w:marLeft w:val="0"/>
      <w:marRight w:val="0"/>
      <w:marTop w:val="0"/>
      <w:marBottom w:val="0"/>
      <w:divBdr>
        <w:top w:val="none" w:sz="0" w:space="0" w:color="auto"/>
        <w:left w:val="none" w:sz="0" w:space="0" w:color="auto"/>
        <w:bottom w:val="none" w:sz="0" w:space="0" w:color="auto"/>
        <w:right w:val="none" w:sz="0" w:space="0" w:color="auto"/>
      </w:divBdr>
    </w:div>
    <w:div w:id="1299072167">
      <w:bodyDiv w:val="1"/>
      <w:marLeft w:val="0"/>
      <w:marRight w:val="0"/>
      <w:marTop w:val="0"/>
      <w:marBottom w:val="0"/>
      <w:divBdr>
        <w:top w:val="none" w:sz="0" w:space="0" w:color="auto"/>
        <w:left w:val="none" w:sz="0" w:space="0" w:color="auto"/>
        <w:bottom w:val="none" w:sz="0" w:space="0" w:color="auto"/>
        <w:right w:val="none" w:sz="0" w:space="0" w:color="auto"/>
      </w:divBdr>
    </w:div>
    <w:div w:id="133013902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7717353">
      <w:bodyDiv w:val="1"/>
      <w:marLeft w:val="0"/>
      <w:marRight w:val="0"/>
      <w:marTop w:val="0"/>
      <w:marBottom w:val="0"/>
      <w:divBdr>
        <w:top w:val="none" w:sz="0" w:space="0" w:color="auto"/>
        <w:left w:val="none" w:sz="0" w:space="0" w:color="auto"/>
        <w:bottom w:val="none" w:sz="0" w:space="0" w:color="auto"/>
        <w:right w:val="none" w:sz="0" w:space="0" w:color="auto"/>
      </w:divBdr>
    </w:div>
    <w:div w:id="1600992379">
      <w:bodyDiv w:val="1"/>
      <w:marLeft w:val="0"/>
      <w:marRight w:val="0"/>
      <w:marTop w:val="0"/>
      <w:marBottom w:val="0"/>
      <w:divBdr>
        <w:top w:val="none" w:sz="0" w:space="0" w:color="auto"/>
        <w:left w:val="none" w:sz="0" w:space="0" w:color="auto"/>
        <w:bottom w:val="none" w:sz="0" w:space="0" w:color="auto"/>
        <w:right w:val="none" w:sz="0" w:space="0" w:color="auto"/>
      </w:divBdr>
    </w:div>
    <w:div w:id="16635055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925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64_Maastricht_2024-08/Docs/S2-2409244.zip"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64_Maastricht_2024-08/Docs/S2-2409523.zip" TargetMode="External"/><Relationship Id="rId2" Type="http://schemas.openxmlformats.org/officeDocument/2006/relationships/customXml" Target="../customXml/item2.xml"/><Relationship Id="rId16" Type="http://schemas.openxmlformats.org/officeDocument/2006/relationships/hyperlink" Target="https://www.3gpp.org/ftp/tsg_sa/TSG_SA/TSGS_104_Shanghai_2024-06/Docs/SP-24098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sa/TSG_SA/TSGS_104_Shanghai_2024-06/Docs/SP-240989.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TSG_SA/TSGS_104_Shanghai_2024-06/Docs/SP-2409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RBI5PAMIO524-1678806122-16948</_dlc_DocId>
    <_dlc_DocIdUrl xmlns="71c5aaf6-e6ce-465b-b873-5148d2a4c105">
      <Url>https://nokia.sharepoint.com/sites/gxp/_layouts/15/DocIdRedir.aspx?ID=RBI5PAMIO524-1678806122-16948</Url>
      <Description>RBI5PAMIO524-1678806122-16948</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2.xml><?xml version="1.0" encoding="utf-8"?>
<ds:datastoreItem xmlns:ds="http://schemas.openxmlformats.org/officeDocument/2006/customXml" ds:itemID="{46802017-ED8E-4DFC-879B-C058A25A5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5.xml><?xml version="1.0" encoding="utf-8"?>
<ds:datastoreItem xmlns:ds="http://schemas.openxmlformats.org/officeDocument/2006/customXml" ds:itemID="{9042FDD2-4EA3-49B3-8946-CD0974ACB23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7.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851</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Alessio Casati</cp:lastModifiedBy>
  <cp:revision>3</cp:revision>
  <cp:lastPrinted>1900-01-02T02:00:00Z</cp:lastPrinted>
  <dcterms:created xsi:type="dcterms:W3CDTF">2024-09-02T11:56:00Z</dcterms:created>
  <dcterms:modified xsi:type="dcterms:W3CDTF">2024-09-03T09:10:00Z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5f33bca2-da89-4e0b-939c-b9a8ac03e3ba</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